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988FB" w14:textId="77777777" w:rsidR="00F52125" w:rsidRPr="00A73608" w:rsidRDefault="00F52125" w:rsidP="00F52125">
      <w:pPr>
        <w:pStyle w:val="Sinespaciado"/>
        <w:jc w:val="center"/>
        <w:rPr>
          <w:rFonts w:asciiTheme="majorHAnsi" w:hAnsiTheme="majorHAnsi"/>
          <w:b/>
          <w:color w:val="0070C0"/>
          <w:sz w:val="36"/>
        </w:rPr>
      </w:pPr>
    </w:p>
    <w:p w14:paraId="634E1D15" w14:textId="77777777" w:rsidR="00A73608" w:rsidRDefault="00A73608" w:rsidP="00F52125">
      <w:pPr>
        <w:pStyle w:val="Sinespaciado"/>
        <w:jc w:val="center"/>
        <w:rPr>
          <w:rFonts w:asciiTheme="majorHAnsi" w:hAnsiTheme="majorHAnsi"/>
          <w:b/>
          <w:sz w:val="36"/>
        </w:rPr>
      </w:pPr>
    </w:p>
    <w:p w14:paraId="4178EC6F" w14:textId="77777777" w:rsidR="00F52125" w:rsidRPr="00A73608" w:rsidRDefault="00F52125" w:rsidP="00F52125">
      <w:pPr>
        <w:pStyle w:val="Sinespaciado"/>
        <w:jc w:val="center"/>
        <w:rPr>
          <w:rFonts w:asciiTheme="majorHAnsi" w:hAnsiTheme="majorHAnsi"/>
          <w:b/>
          <w:sz w:val="36"/>
        </w:rPr>
      </w:pPr>
      <w:r w:rsidRPr="00A73608">
        <w:rPr>
          <w:rFonts w:asciiTheme="majorHAnsi" w:hAnsiTheme="majorHAnsi"/>
          <w:b/>
          <w:sz w:val="36"/>
        </w:rPr>
        <w:t xml:space="preserve">PLAN </w:t>
      </w:r>
      <w:r w:rsidR="004A01DE" w:rsidRPr="00A73608">
        <w:rPr>
          <w:rFonts w:asciiTheme="majorHAnsi" w:hAnsiTheme="majorHAnsi"/>
          <w:b/>
          <w:sz w:val="36"/>
        </w:rPr>
        <w:t xml:space="preserve">NACIONAL DE </w:t>
      </w:r>
      <w:r w:rsidR="000A0AB3" w:rsidRPr="00A73608">
        <w:rPr>
          <w:rFonts w:asciiTheme="majorHAnsi" w:hAnsiTheme="majorHAnsi"/>
          <w:b/>
          <w:sz w:val="36"/>
        </w:rPr>
        <w:t>ASISTENCIA INTEGRAL TÉCNICA, TECNOLÓGICA Y DE IMPULSO A LA INVESTIGACIÓN</w:t>
      </w:r>
    </w:p>
    <w:p w14:paraId="571343B3" w14:textId="77777777" w:rsidR="00F52125" w:rsidRPr="00A73608" w:rsidRDefault="00F52125">
      <w:pPr>
        <w:pStyle w:val="Sinespaciado"/>
        <w:jc w:val="center"/>
        <w:rPr>
          <w:rFonts w:asciiTheme="majorHAnsi" w:hAnsiTheme="majorHAnsi"/>
          <w:b/>
          <w:color w:val="0070C0"/>
          <w:sz w:val="36"/>
        </w:rPr>
      </w:pPr>
    </w:p>
    <w:p w14:paraId="19192104" w14:textId="77777777" w:rsidR="00C54FA7" w:rsidRPr="00A73608" w:rsidRDefault="00C54FA7">
      <w:pPr>
        <w:pStyle w:val="Sinespaciado"/>
        <w:rPr>
          <w:rFonts w:asciiTheme="majorHAnsi" w:hAnsiTheme="majorHAnsi"/>
        </w:rPr>
      </w:pPr>
    </w:p>
    <w:p w14:paraId="74145B02" w14:textId="77777777" w:rsidR="00C54FA7" w:rsidRPr="00A73608" w:rsidRDefault="00C54FA7">
      <w:pPr>
        <w:pStyle w:val="Sinespaciado"/>
        <w:jc w:val="center"/>
        <w:rPr>
          <w:rFonts w:asciiTheme="majorHAnsi" w:hAnsiTheme="majorHAnsi"/>
          <w:b/>
          <w:color w:val="00B050"/>
          <w:sz w:val="28"/>
        </w:rPr>
      </w:pPr>
    </w:p>
    <w:p w14:paraId="4BF463A5" w14:textId="203C2407" w:rsidR="00C54FA7" w:rsidRPr="00A73608" w:rsidRDefault="00A23C60">
      <w:pPr>
        <w:pStyle w:val="Sinespaciado"/>
        <w:jc w:val="right"/>
        <w:rPr>
          <w:rFonts w:asciiTheme="majorHAnsi" w:hAnsiTheme="majorHAnsi"/>
          <w:b/>
          <w:i/>
        </w:rPr>
      </w:pPr>
      <w:r w:rsidRPr="00A73608">
        <w:rPr>
          <w:rFonts w:asciiTheme="majorHAnsi" w:hAnsiTheme="majorHAnsi"/>
          <w:b/>
          <w:i/>
        </w:rPr>
        <w:t xml:space="preserve">Versión: </w:t>
      </w:r>
      <w:r w:rsidR="004B4B83">
        <w:rPr>
          <w:rFonts w:asciiTheme="majorHAnsi" w:hAnsiTheme="majorHAnsi"/>
          <w:b/>
          <w:i/>
        </w:rPr>
        <w:t>28</w:t>
      </w:r>
      <w:r w:rsidR="004A01DE" w:rsidRPr="00A73608">
        <w:rPr>
          <w:rFonts w:asciiTheme="majorHAnsi" w:hAnsiTheme="majorHAnsi"/>
          <w:b/>
          <w:i/>
        </w:rPr>
        <w:t xml:space="preserve"> de </w:t>
      </w:r>
      <w:r w:rsidR="00986E36">
        <w:rPr>
          <w:rFonts w:asciiTheme="majorHAnsi" w:hAnsiTheme="majorHAnsi"/>
          <w:b/>
          <w:i/>
        </w:rPr>
        <w:t>marzo</w:t>
      </w:r>
      <w:r w:rsidR="00EE624E">
        <w:rPr>
          <w:rFonts w:asciiTheme="majorHAnsi" w:hAnsiTheme="majorHAnsi"/>
          <w:b/>
          <w:i/>
        </w:rPr>
        <w:t xml:space="preserve"> de 2019</w:t>
      </w:r>
    </w:p>
    <w:p w14:paraId="799F9DF5" w14:textId="77777777" w:rsidR="00F52125" w:rsidRPr="00A73608" w:rsidRDefault="00F52125">
      <w:pPr>
        <w:pStyle w:val="Sinespaciado"/>
        <w:jc w:val="right"/>
        <w:rPr>
          <w:rFonts w:asciiTheme="majorHAnsi" w:hAnsiTheme="majorHAnsi"/>
          <w:b/>
          <w:i/>
        </w:rPr>
      </w:pPr>
    </w:p>
    <w:p w14:paraId="7B7BCB38" w14:textId="77777777" w:rsidR="00F52125" w:rsidRPr="00A73608" w:rsidRDefault="00F52125">
      <w:pPr>
        <w:pStyle w:val="Sinespaciado"/>
        <w:jc w:val="right"/>
        <w:rPr>
          <w:rFonts w:asciiTheme="majorHAnsi" w:hAnsiTheme="majorHAnsi"/>
          <w:b/>
          <w:i/>
        </w:rPr>
      </w:pPr>
      <w:r w:rsidRPr="00A73608">
        <w:rPr>
          <w:rFonts w:asciiTheme="majorHAnsi" w:hAnsiTheme="majorHAnsi"/>
          <w:b/>
          <w:i/>
        </w:rPr>
        <w:t>Preparado por:</w:t>
      </w:r>
    </w:p>
    <w:p w14:paraId="57301010" w14:textId="77777777" w:rsidR="00F52125" w:rsidRPr="00A73608" w:rsidRDefault="00F52125" w:rsidP="00F52125">
      <w:pPr>
        <w:pStyle w:val="Sinespaciado"/>
        <w:jc w:val="right"/>
        <w:rPr>
          <w:rFonts w:asciiTheme="majorHAnsi" w:hAnsiTheme="majorHAnsi"/>
          <w:b/>
          <w:i/>
        </w:rPr>
      </w:pPr>
      <w:r w:rsidRPr="00A73608">
        <w:rPr>
          <w:rFonts w:asciiTheme="majorHAnsi" w:hAnsiTheme="majorHAnsi"/>
          <w:b/>
          <w:i/>
        </w:rPr>
        <w:t xml:space="preserve">Departamento Nacional de Planeación – DNP </w:t>
      </w:r>
    </w:p>
    <w:p w14:paraId="69E5253B" w14:textId="77777777" w:rsidR="00F52125" w:rsidRPr="00A73608" w:rsidRDefault="00F52125" w:rsidP="00F52125">
      <w:pPr>
        <w:pStyle w:val="Sinespaciado"/>
        <w:jc w:val="right"/>
        <w:rPr>
          <w:rFonts w:asciiTheme="majorHAnsi" w:hAnsiTheme="majorHAnsi"/>
          <w:b/>
          <w:i/>
        </w:rPr>
      </w:pPr>
      <w:r w:rsidRPr="00A73608">
        <w:rPr>
          <w:rFonts w:asciiTheme="majorHAnsi" w:hAnsiTheme="majorHAnsi"/>
          <w:b/>
          <w:i/>
        </w:rPr>
        <w:t>Ministerio de Agricultura y Desarrollo Rural - MADR</w:t>
      </w:r>
    </w:p>
    <w:p w14:paraId="16D22619" w14:textId="7C5FEF7D" w:rsidR="00F52125" w:rsidRPr="00A73608" w:rsidRDefault="00F52125" w:rsidP="00F52125">
      <w:pPr>
        <w:pStyle w:val="Sinespaciado"/>
        <w:jc w:val="right"/>
        <w:rPr>
          <w:rFonts w:asciiTheme="majorHAnsi" w:hAnsiTheme="majorHAnsi"/>
          <w:b/>
          <w:i/>
        </w:rPr>
      </w:pPr>
      <w:r w:rsidRPr="00A73608">
        <w:rPr>
          <w:rFonts w:asciiTheme="majorHAnsi" w:hAnsiTheme="majorHAnsi"/>
          <w:b/>
          <w:i/>
        </w:rPr>
        <w:t xml:space="preserve">Corporación de Investigación Agropecuaria- </w:t>
      </w:r>
      <w:r w:rsidR="00C044A7">
        <w:rPr>
          <w:rFonts w:asciiTheme="majorHAnsi" w:hAnsiTheme="majorHAnsi"/>
          <w:b/>
          <w:i/>
        </w:rPr>
        <w:t>AGROSAVIA</w:t>
      </w:r>
    </w:p>
    <w:p w14:paraId="170C4282" w14:textId="77777777" w:rsidR="00F52125" w:rsidRPr="00A73608" w:rsidRDefault="00F52125" w:rsidP="00F52125">
      <w:pPr>
        <w:pStyle w:val="Sinespaciado"/>
        <w:jc w:val="right"/>
        <w:rPr>
          <w:rFonts w:asciiTheme="majorHAnsi" w:hAnsiTheme="majorHAnsi"/>
          <w:b/>
          <w:i/>
        </w:rPr>
      </w:pPr>
      <w:r w:rsidRPr="00A73608">
        <w:rPr>
          <w:rFonts w:asciiTheme="majorHAnsi" w:hAnsiTheme="majorHAnsi"/>
          <w:b/>
          <w:i/>
        </w:rPr>
        <w:t>Agencia de Desarrollo Rural - ADR</w:t>
      </w:r>
    </w:p>
    <w:p w14:paraId="4C603C42" w14:textId="77777777" w:rsidR="00C54FA7" w:rsidRPr="00A73608" w:rsidRDefault="00C54FA7">
      <w:pPr>
        <w:pStyle w:val="Sinespaciado"/>
        <w:jc w:val="both"/>
        <w:rPr>
          <w:rFonts w:asciiTheme="majorHAnsi" w:hAnsiTheme="majorHAnsi"/>
        </w:rPr>
      </w:pPr>
    </w:p>
    <w:p w14:paraId="22F4914F" w14:textId="77777777" w:rsidR="00C54FA7" w:rsidRPr="00A73608" w:rsidRDefault="00C54FA7">
      <w:pPr>
        <w:pStyle w:val="Sinespaciado"/>
        <w:jc w:val="both"/>
        <w:rPr>
          <w:rFonts w:asciiTheme="majorHAnsi" w:hAnsiTheme="majorHAnsi"/>
        </w:rPr>
      </w:pPr>
    </w:p>
    <w:p w14:paraId="1B775BAB" w14:textId="77777777" w:rsidR="00C54FA7" w:rsidRPr="00A73608" w:rsidRDefault="00C54FA7">
      <w:pPr>
        <w:pStyle w:val="Sinespaciado"/>
        <w:jc w:val="both"/>
        <w:rPr>
          <w:rFonts w:asciiTheme="majorHAnsi" w:hAnsiTheme="majorHAnsi"/>
        </w:rPr>
      </w:pPr>
    </w:p>
    <w:sdt>
      <w:sdtPr>
        <w:rPr>
          <w:rFonts w:asciiTheme="minorHAnsi" w:eastAsiaTheme="minorHAnsi" w:hAnsiTheme="minorHAnsi" w:cstheme="minorBidi"/>
          <w:b w:val="0"/>
          <w:bCs w:val="0"/>
          <w:color w:val="auto"/>
          <w:sz w:val="22"/>
          <w:szCs w:val="22"/>
          <w:lang w:val="es-CO" w:eastAsia="en-US"/>
        </w:rPr>
        <w:id w:val="423533247"/>
        <w:docPartObj>
          <w:docPartGallery w:val="Table of Contents"/>
          <w:docPartUnique/>
        </w:docPartObj>
      </w:sdtPr>
      <w:sdtContent>
        <w:p w14:paraId="4D046C0A" w14:textId="77777777" w:rsidR="00F52125" w:rsidRPr="00A73608" w:rsidRDefault="00F52125">
          <w:pPr>
            <w:pStyle w:val="TtulodeTDC"/>
          </w:pPr>
          <w:r w:rsidRPr="00A73608">
            <w:t>Contenido</w:t>
          </w:r>
        </w:p>
        <w:p w14:paraId="769EAA46" w14:textId="77777777" w:rsidR="00EC2491" w:rsidRPr="00D753C6" w:rsidRDefault="00F52125" w:rsidP="00D753C6">
          <w:pPr>
            <w:pStyle w:val="TDC1"/>
            <w:spacing w:after="0" w:line="240" w:lineRule="auto"/>
            <w:rPr>
              <w:rFonts w:asciiTheme="majorHAnsi" w:eastAsiaTheme="minorEastAsia" w:hAnsiTheme="majorHAnsi"/>
              <w:noProof/>
              <w:lang w:eastAsia="es-CO"/>
            </w:rPr>
          </w:pPr>
          <w:r w:rsidRPr="00A73608">
            <w:rPr>
              <w:rFonts w:asciiTheme="majorHAnsi" w:hAnsiTheme="majorHAnsi"/>
            </w:rPr>
            <w:fldChar w:fldCharType="begin"/>
          </w:r>
          <w:r w:rsidRPr="00A73608">
            <w:rPr>
              <w:rFonts w:asciiTheme="majorHAnsi" w:hAnsiTheme="majorHAnsi"/>
            </w:rPr>
            <w:instrText xml:space="preserve"> TOC \o "1-3" \h \z \u </w:instrText>
          </w:r>
          <w:r w:rsidRPr="00A73608">
            <w:rPr>
              <w:rFonts w:asciiTheme="majorHAnsi" w:hAnsiTheme="majorHAnsi"/>
            </w:rPr>
            <w:fldChar w:fldCharType="separate"/>
          </w:r>
          <w:hyperlink w:anchor="_Toc4680855" w:history="1">
            <w:r w:rsidR="00EC2491" w:rsidRPr="00D753C6">
              <w:rPr>
                <w:rStyle w:val="Hipervnculo"/>
                <w:rFonts w:asciiTheme="majorHAnsi" w:hAnsiTheme="majorHAnsi"/>
                <w:noProof/>
              </w:rPr>
              <w:t>Resumen ejecutivo</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_Toc4680855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3</w:t>
            </w:r>
            <w:r w:rsidR="00EC2491" w:rsidRPr="00D753C6">
              <w:rPr>
                <w:rFonts w:asciiTheme="majorHAnsi" w:hAnsiTheme="majorHAnsi"/>
                <w:noProof/>
                <w:webHidden/>
              </w:rPr>
              <w:fldChar w:fldCharType="end"/>
            </w:r>
          </w:hyperlink>
        </w:p>
        <w:p w14:paraId="3FF72CE6" w14:textId="77777777" w:rsidR="00EC2491" w:rsidRPr="00D753C6" w:rsidRDefault="007F7D88" w:rsidP="00D753C6">
          <w:pPr>
            <w:pStyle w:val="TDC1"/>
            <w:tabs>
              <w:tab w:val="left" w:pos="440"/>
            </w:tabs>
            <w:spacing w:after="0" w:line="240" w:lineRule="auto"/>
            <w:rPr>
              <w:rFonts w:asciiTheme="majorHAnsi" w:eastAsiaTheme="minorEastAsia" w:hAnsiTheme="majorHAnsi"/>
              <w:b/>
              <w:noProof/>
              <w:lang w:eastAsia="es-CO"/>
            </w:rPr>
          </w:pPr>
          <w:hyperlink w:anchor="_Toc4680856" w:history="1">
            <w:r w:rsidR="00EC2491" w:rsidRPr="00D753C6">
              <w:rPr>
                <w:rStyle w:val="Hipervnculo"/>
                <w:rFonts w:asciiTheme="majorHAnsi" w:hAnsiTheme="majorHAnsi"/>
                <w:b/>
                <w:noProof/>
              </w:rPr>
              <w:t>1.</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Introducción</w:t>
            </w:r>
            <w:r w:rsidR="00EC2491" w:rsidRPr="00D753C6">
              <w:rPr>
                <w:rFonts w:asciiTheme="majorHAnsi" w:hAnsiTheme="majorHAnsi"/>
                <w:b/>
                <w:noProof/>
                <w:webHidden/>
              </w:rPr>
              <w:tab/>
            </w:r>
            <w:r w:rsidR="00EC2491" w:rsidRPr="00D753C6">
              <w:rPr>
                <w:rFonts w:asciiTheme="majorHAnsi" w:hAnsiTheme="majorHAnsi"/>
                <w:b/>
                <w:noProof/>
                <w:webHidden/>
              </w:rPr>
              <w:fldChar w:fldCharType="begin"/>
            </w:r>
            <w:r w:rsidR="00EC2491" w:rsidRPr="00D753C6">
              <w:rPr>
                <w:rFonts w:asciiTheme="majorHAnsi" w:hAnsiTheme="majorHAnsi"/>
                <w:b/>
                <w:noProof/>
                <w:webHidden/>
              </w:rPr>
              <w:instrText xml:space="preserve"> PAGEREF _Toc4680856 \h </w:instrText>
            </w:r>
            <w:r w:rsidR="00EC2491" w:rsidRPr="00D753C6">
              <w:rPr>
                <w:rFonts w:asciiTheme="majorHAnsi" w:hAnsiTheme="majorHAnsi"/>
                <w:b/>
                <w:noProof/>
                <w:webHidden/>
              </w:rPr>
            </w:r>
            <w:r w:rsidR="00EC2491" w:rsidRPr="00D753C6">
              <w:rPr>
                <w:rFonts w:asciiTheme="majorHAnsi" w:hAnsiTheme="majorHAnsi"/>
                <w:b/>
                <w:noProof/>
                <w:webHidden/>
              </w:rPr>
              <w:fldChar w:fldCharType="separate"/>
            </w:r>
            <w:r w:rsidR="00EC2491" w:rsidRPr="00D753C6">
              <w:rPr>
                <w:rFonts w:asciiTheme="majorHAnsi" w:hAnsiTheme="majorHAnsi"/>
                <w:b/>
                <w:noProof/>
                <w:webHidden/>
              </w:rPr>
              <w:t>4</w:t>
            </w:r>
            <w:r w:rsidR="00EC2491" w:rsidRPr="00D753C6">
              <w:rPr>
                <w:rFonts w:asciiTheme="majorHAnsi" w:hAnsiTheme="majorHAnsi"/>
                <w:b/>
                <w:noProof/>
                <w:webHidden/>
              </w:rPr>
              <w:fldChar w:fldCharType="end"/>
            </w:r>
          </w:hyperlink>
        </w:p>
        <w:p w14:paraId="08825BEF" w14:textId="77777777" w:rsidR="00EC2491" w:rsidRPr="00D753C6" w:rsidRDefault="007F7D88" w:rsidP="00D753C6">
          <w:pPr>
            <w:pStyle w:val="TDC1"/>
            <w:tabs>
              <w:tab w:val="left" w:pos="440"/>
            </w:tabs>
            <w:spacing w:after="0" w:line="240" w:lineRule="auto"/>
            <w:rPr>
              <w:rFonts w:asciiTheme="majorHAnsi" w:eastAsiaTheme="minorEastAsia" w:hAnsiTheme="majorHAnsi"/>
              <w:b/>
              <w:noProof/>
              <w:lang w:eastAsia="es-CO"/>
            </w:rPr>
          </w:pPr>
          <w:hyperlink w:anchor="_Toc4680857" w:history="1">
            <w:r w:rsidR="00EC2491" w:rsidRPr="00D753C6">
              <w:rPr>
                <w:rStyle w:val="Hipervnculo"/>
                <w:rFonts w:asciiTheme="majorHAnsi" w:hAnsiTheme="majorHAnsi"/>
                <w:b/>
                <w:noProof/>
              </w:rPr>
              <w:t>2.</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Antecedentes y justificación</w:t>
            </w:r>
            <w:r w:rsidR="00EC2491" w:rsidRPr="00D753C6">
              <w:rPr>
                <w:rFonts w:asciiTheme="majorHAnsi" w:hAnsiTheme="majorHAnsi"/>
                <w:b/>
                <w:noProof/>
                <w:webHidden/>
              </w:rPr>
              <w:tab/>
            </w:r>
            <w:r w:rsidR="00EC2491" w:rsidRPr="00D753C6">
              <w:rPr>
                <w:rFonts w:asciiTheme="majorHAnsi" w:hAnsiTheme="majorHAnsi"/>
                <w:b/>
                <w:noProof/>
                <w:webHidden/>
              </w:rPr>
              <w:fldChar w:fldCharType="begin"/>
            </w:r>
            <w:r w:rsidR="00EC2491" w:rsidRPr="00D753C6">
              <w:rPr>
                <w:rFonts w:asciiTheme="majorHAnsi" w:hAnsiTheme="majorHAnsi"/>
                <w:b/>
                <w:noProof/>
                <w:webHidden/>
              </w:rPr>
              <w:instrText xml:space="preserve"> PAGEREF _Toc4680857 \h </w:instrText>
            </w:r>
            <w:r w:rsidR="00EC2491" w:rsidRPr="00D753C6">
              <w:rPr>
                <w:rFonts w:asciiTheme="majorHAnsi" w:hAnsiTheme="majorHAnsi"/>
                <w:b/>
                <w:noProof/>
                <w:webHidden/>
              </w:rPr>
            </w:r>
            <w:r w:rsidR="00EC2491" w:rsidRPr="00D753C6">
              <w:rPr>
                <w:rFonts w:asciiTheme="majorHAnsi" w:hAnsiTheme="majorHAnsi"/>
                <w:b/>
                <w:noProof/>
                <w:webHidden/>
              </w:rPr>
              <w:fldChar w:fldCharType="separate"/>
            </w:r>
            <w:r w:rsidR="00EC2491" w:rsidRPr="00D753C6">
              <w:rPr>
                <w:rFonts w:asciiTheme="majorHAnsi" w:hAnsiTheme="majorHAnsi"/>
                <w:b/>
                <w:noProof/>
                <w:webHidden/>
              </w:rPr>
              <w:t>6</w:t>
            </w:r>
            <w:r w:rsidR="00EC2491" w:rsidRPr="00D753C6">
              <w:rPr>
                <w:rFonts w:asciiTheme="majorHAnsi" w:hAnsiTheme="majorHAnsi"/>
                <w:b/>
                <w:noProof/>
                <w:webHidden/>
              </w:rPr>
              <w:fldChar w:fldCharType="end"/>
            </w:r>
          </w:hyperlink>
        </w:p>
        <w:p w14:paraId="0C0D9447" w14:textId="77777777" w:rsidR="00EC2491" w:rsidRPr="00D753C6" w:rsidRDefault="007F7D88" w:rsidP="00D753C6">
          <w:pPr>
            <w:pStyle w:val="TDC1"/>
            <w:tabs>
              <w:tab w:val="left" w:pos="440"/>
            </w:tabs>
            <w:spacing w:after="0" w:line="240" w:lineRule="auto"/>
            <w:rPr>
              <w:rFonts w:asciiTheme="majorHAnsi" w:eastAsiaTheme="minorEastAsia" w:hAnsiTheme="majorHAnsi"/>
              <w:b/>
              <w:noProof/>
              <w:lang w:eastAsia="es-CO"/>
            </w:rPr>
          </w:pPr>
          <w:hyperlink w:anchor="_Toc4680858" w:history="1">
            <w:r w:rsidR="00EC2491" w:rsidRPr="00D753C6">
              <w:rPr>
                <w:rStyle w:val="Hipervnculo"/>
                <w:rFonts w:asciiTheme="majorHAnsi" w:hAnsiTheme="majorHAnsi"/>
                <w:b/>
                <w:noProof/>
              </w:rPr>
              <w:t>3.</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Marco conceptual</w:t>
            </w:r>
            <w:r w:rsidR="00EC2491" w:rsidRPr="00D753C6">
              <w:rPr>
                <w:rFonts w:asciiTheme="majorHAnsi" w:hAnsiTheme="majorHAnsi"/>
                <w:b/>
                <w:noProof/>
                <w:webHidden/>
              </w:rPr>
              <w:tab/>
            </w:r>
            <w:r w:rsidR="00EC2491" w:rsidRPr="00D753C6">
              <w:rPr>
                <w:rFonts w:asciiTheme="majorHAnsi" w:hAnsiTheme="majorHAnsi"/>
                <w:b/>
                <w:noProof/>
                <w:webHidden/>
              </w:rPr>
              <w:fldChar w:fldCharType="begin"/>
            </w:r>
            <w:r w:rsidR="00EC2491" w:rsidRPr="00D753C6">
              <w:rPr>
                <w:rFonts w:asciiTheme="majorHAnsi" w:hAnsiTheme="majorHAnsi"/>
                <w:b/>
                <w:noProof/>
                <w:webHidden/>
              </w:rPr>
              <w:instrText xml:space="preserve"> PAGEREF _Toc4680858 \h </w:instrText>
            </w:r>
            <w:r w:rsidR="00EC2491" w:rsidRPr="00D753C6">
              <w:rPr>
                <w:rFonts w:asciiTheme="majorHAnsi" w:hAnsiTheme="majorHAnsi"/>
                <w:b/>
                <w:noProof/>
                <w:webHidden/>
              </w:rPr>
            </w:r>
            <w:r w:rsidR="00EC2491" w:rsidRPr="00D753C6">
              <w:rPr>
                <w:rFonts w:asciiTheme="majorHAnsi" w:hAnsiTheme="majorHAnsi"/>
                <w:b/>
                <w:noProof/>
                <w:webHidden/>
              </w:rPr>
              <w:fldChar w:fldCharType="separate"/>
            </w:r>
            <w:r w:rsidR="00EC2491" w:rsidRPr="00D753C6">
              <w:rPr>
                <w:rFonts w:asciiTheme="majorHAnsi" w:hAnsiTheme="majorHAnsi"/>
                <w:b/>
                <w:noProof/>
                <w:webHidden/>
              </w:rPr>
              <w:t>9</w:t>
            </w:r>
            <w:r w:rsidR="00EC2491" w:rsidRPr="00D753C6">
              <w:rPr>
                <w:rFonts w:asciiTheme="majorHAnsi" w:hAnsiTheme="majorHAnsi"/>
                <w:b/>
                <w:noProof/>
                <w:webHidden/>
              </w:rPr>
              <w:fldChar w:fldCharType="end"/>
            </w:r>
          </w:hyperlink>
        </w:p>
        <w:p w14:paraId="7FFE20F6" w14:textId="77777777" w:rsidR="00EC2491" w:rsidRPr="00D753C6" w:rsidRDefault="007F7D88" w:rsidP="00D753C6">
          <w:pPr>
            <w:pStyle w:val="TDC1"/>
            <w:tabs>
              <w:tab w:val="left" w:pos="440"/>
            </w:tabs>
            <w:spacing w:after="0" w:line="240" w:lineRule="auto"/>
            <w:rPr>
              <w:rFonts w:asciiTheme="majorHAnsi" w:eastAsiaTheme="minorEastAsia" w:hAnsiTheme="majorHAnsi"/>
              <w:b/>
              <w:noProof/>
              <w:lang w:eastAsia="es-CO"/>
            </w:rPr>
          </w:pPr>
          <w:hyperlink w:anchor="_Toc4680859" w:history="1">
            <w:r w:rsidR="00EC2491" w:rsidRPr="00D753C6">
              <w:rPr>
                <w:rStyle w:val="Hipervnculo"/>
                <w:rFonts w:asciiTheme="majorHAnsi" w:hAnsiTheme="majorHAnsi"/>
                <w:b/>
                <w:noProof/>
              </w:rPr>
              <w:t>4.</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Diagnóstico</w:t>
            </w:r>
            <w:r w:rsidR="00EC2491" w:rsidRPr="00D753C6">
              <w:rPr>
                <w:rFonts w:asciiTheme="majorHAnsi" w:hAnsiTheme="majorHAnsi"/>
                <w:b/>
                <w:noProof/>
                <w:webHidden/>
              </w:rPr>
              <w:tab/>
            </w:r>
            <w:r w:rsidR="00EC2491" w:rsidRPr="00D753C6">
              <w:rPr>
                <w:rFonts w:asciiTheme="majorHAnsi" w:hAnsiTheme="majorHAnsi"/>
                <w:b/>
                <w:noProof/>
                <w:webHidden/>
              </w:rPr>
              <w:fldChar w:fldCharType="begin"/>
            </w:r>
            <w:r w:rsidR="00EC2491" w:rsidRPr="00D753C6">
              <w:rPr>
                <w:rFonts w:asciiTheme="majorHAnsi" w:hAnsiTheme="majorHAnsi"/>
                <w:b/>
                <w:noProof/>
                <w:webHidden/>
              </w:rPr>
              <w:instrText xml:space="preserve"> PAGEREF _Toc4680859 \h </w:instrText>
            </w:r>
            <w:r w:rsidR="00EC2491" w:rsidRPr="00D753C6">
              <w:rPr>
                <w:rFonts w:asciiTheme="majorHAnsi" w:hAnsiTheme="majorHAnsi"/>
                <w:b/>
                <w:noProof/>
                <w:webHidden/>
              </w:rPr>
            </w:r>
            <w:r w:rsidR="00EC2491" w:rsidRPr="00D753C6">
              <w:rPr>
                <w:rFonts w:asciiTheme="majorHAnsi" w:hAnsiTheme="majorHAnsi"/>
                <w:b/>
                <w:noProof/>
                <w:webHidden/>
              </w:rPr>
              <w:fldChar w:fldCharType="separate"/>
            </w:r>
            <w:r w:rsidR="00EC2491" w:rsidRPr="00D753C6">
              <w:rPr>
                <w:rFonts w:asciiTheme="majorHAnsi" w:hAnsiTheme="majorHAnsi"/>
                <w:b/>
                <w:noProof/>
                <w:webHidden/>
              </w:rPr>
              <w:t>10</w:t>
            </w:r>
            <w:r w:rsidR="00EC2491" w:rsidRPr="00D753C6">
              <w:rPr>
                <w:rFonts w:asciiTheme="majorHAnsi" w:hAnsiTheme="majorHAnsi"/>
                <w:b/>
                <w:noProof/>
                <w:webHidden/>
              </w:rPr>
              <w:fldChar w:fldCharType="end"/>
            </w:r>
          </w:hyperlink>
        </w:p>
        <w:p w14:paraId="53436DE9" w14:textId="77777777" w:rsidR="00EC2491" w:rsidRPr="00D753C6" w:rsidRDefault="007F7D88" w:rsidP="00D753C6">
          <w:pPr>
            <w:pStyle w:val="TDC3"/>
            <w:tabs>
              <w:tab w:val="left" w:pos="1320"/>
              <w:tab w:val="right" w:leader="dot" w:pos="8828"/>
            </w:tabs>
            <w:spacing w:after="0" w:line="240" w:lineRule="auto"/>
            <w:rPr>
              <w:rFonts w:asciiTheme="majorHAnsi" w:eastAsiaTheme="minorEastAsia" w:hAnsiTheme="majorHAnsi"/>
              <w:noProof/>
              <w:lang w:eastAsia="es-CO"/>
            </w:rPr>
          </w:pPr>
          <w:hyperlink w:anchor="_Toc4680860" w:history="1">
            <w:r w:rsidR="00EC2491" w:rsidRPr="00D753C6">
              <w:rPr>
                <w:rStyle w:val="Hipervnculo"/>
                <w:rFonts w:asciiTheme="majorHAnsi" w:hAnsiTheme="majorHAnsi"/>
                <w:noProof/>
              </w:rPr>
              <w:t>4.2.1</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noProof/>
              </w:rPr>
              <w:t>Falta de acompañamiento y</w:t>
            </w:r>
            <w:r w:rsidR="00EC2491" w:rsidRPr="00D753C6">
              <w:rPr>
                <w:rStyle w:val="Hipervnculo"/>
                <w:rFonts w:asciiTheme="majorHAnsi" w:hAnsiTheme="majorHAnsi"/>
                <w:noProof/>
                <w:spacing w:val="-20"/>
              </w:rPr>
              <w:t xml:space="preserve"> </w:t>
            </w:r>
            <w:r w:rsidR="00EC2491" w:rsidRPr="00D753C6">
              <w:rPr>
                <w:rStyle w:val="Hipervnculo"/>
                <w:rFonts w:asciiTheme="majorHAnsi" w:hAnsiTheme="majorHAnsi"/>
                <w:noProof/>
              </w:rPr>
              <w:t>planificación.</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_Toc4680860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10</w:t>
            </w:r>
            <w:r w:rsidR="00EC2491" w:rsidRPr="00D753C6">
              <w:rPr>
                <w:rFonts w:asciiTheme="majorHAnsi" w:hAnsiTheme="majorHAnsi"/>
                <w:noProof/>
                <w:webHidden/>
              </w:rPr>
              <w:fldChar w:fldCharType="end"/>
            </w:r>
          </w:hyperlink>
        </w:p>
        <w:p w14:paraId="5CDC56E3" w14:textId="77777777" w:rsidR="00EC2491" w:rsidRPr="00D753C6" w:rsidRDefault="007F7D88" w:rsidP="00D753C6">
          <w:pPr>
            <w:pStyle w:val="TDC3"/>
            <w:tabs>
              <w:tab w:val="left" w:pos="1320"/>
              <w:tab w:val="right" w:leader="dot" w:pos="8828"/>
            </w:tabs>
            <w:spacing w:after="0" w:line="240" w:lineRule="auto"/>
            <w:rPr>
              <w:rFonts w:asciiTheme="majorHAnsi" w:eastAsiaTheme="minorEastAsia" w:hAnsiTheme="majorHAnsi"/>
              <w:noProof/>
              <w:lang w:eastAsia="es-CO"/>
            </w:rPr>
          </w:pPr>
          <w:hyperlink w:anchor="_Toc4680861" w:history="1">
            <w:r w:rsidR="00EC2491" w:rsidRPr="00D753C6">
              <w:rPr>
                <w:rStyle w:val="Hipervnculo"/>
                <w:rFonts w:asciiTheme="majorHAnsi" w:hAnsiTheme="majorHAnsi"/>
                <w:noProof/>
              </w:rPr>
              <w:t>4.2.2</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noProof/>
              </w:rPr>
              <w:t>Vacíos en la formación y capacitación asociada a la ATA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_Toc4680861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11</w:t>
            </w:r>
            <w:r w:rsidR="00EC2491" w:rsidRPr="00D753C6">
              <w:rPr>
                <w:rFonts w:asciiTheme="majorHAnsi" w:hAnsiTheme="majorHAnsi"/>
                <w:noProof/>
                <w:webHidden/>
              </w:rPr>
              <w:fldChar w:fldCharType="end"/>
            </w:r>
          </w:hyperlink>
        </w:p>
        <w:p w14:paraId="0BFE3B1A" w14:textId="77777777" w:rsidR="00EC2491" w:rsidRPr="00D753C6" w:rsidRDefault="007F7D88" w:rsidP="00D753C6">
          <w:pPr>
            <w:pStyle w:val="TDC3"/>
            <w:tabs>
              <w:tab w:val="left" w:pos="1320"/>
              <w:tab w:val="right" w:leader="dot" w:pos="8828"/>
            </w:tabs>
            <w:spacing w:after="0" w:line="240" w:lineRule="auto"/>
            <w:rPr>
              <w:rFonts w:asciiTheme="majorHAnsi" w:eastAsiaTheme="minorEastAsia" w:hAnsiTheme="majorHAnsi"/>
              <w:noProof/>
              <w:lang w:eastAsia="es-CO"/>
            </w:rPr>
          </w:pPr>
          <w:hyperlink w:anchor="_Toc4680862" w:history="1">
            <w:r w:rsidR="00EC2491" w:rsidRPr="00D753C6">
              <w:rPr>
                <w:rStyle w:val="Hipervnculo"/>
                <w:rFonts w:asciiTheme="majorHAnsi" w:hAnsiTheme="majorHAnsi"/>
                <w:noProof/>
              </w:rPr>
              <w:t>4.2.3</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noProof/>
              </w:rPr>
              <w:t>Debilidades en la financiación del modelo ATA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_Toc4680862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11</w:t>
            </w:r>
            <w:r w:rsidR="00EC2491" w:rsidRPr="00D753C6">
              <w:rPr>
                <w:rFonts w:asciiTheme="majorHAnsi" w:hAnsiTheme="majorHAnsi"/>
                <w:noProof/>
                <w:webHidden/>
              </w:rPr>
              <w:fldChar w:fldCharType="end"/>
            </w:r>
          </w:hyperlink>
        </w:p>
        <w:p w14:paraId="332E18DB" w14:textId="77777777" w:rsidR="00EC2491" w:rsidRPr="00D753C6" w:rsidRDefault="007F7D88" w:rsidP="00D753C6">
          <w:pPr>
            <w:pStyle w:val="TDC2"/>
            <w:tabs>
              <w:tab w:val="left" w:pos="880"/>
              <w:tab w:val="right" w:leader="dot" w:pos="8828"/>
            </w:tabs>
            <w:spacing w:after="0" w:line="240" w:lineRule="auto"/>
            <w:rPr>
              <w:rFonts w:asciiTheme="majorHAnsi" w:eastAsiaTheme="minorEastAsia" w:hAnsiTheme="majorHAnsi"/>
              <w:noProof/>
              <w:lang w:eastAsia="es-CO"/>
            </w:rPr>
          </w:pPr>
          <w:hyperlink w:anchor="_Toc4680863" w:history="1">
            <w:r w:rsidR="00EC2491" w:rsidRPr="00D753C6">
              <w:rPr>
                <w:rStyle w:val="Hipervnculo"/>
                <w:rFonts w:asciiTheme="majorHAnsi" w:hAnsiTheme="majorHAnsi"/>
                <w:noProof/>
              </w:rPr>
              <w:t>4.3</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noProof/>
              </w:rPr>
              <w:t>Población objetivo</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_Toc4680863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12</w:t>
            </w:r>
            <w:r w:rsidR="00EC2491" w:rsidRPr="00D753C6">
              <w:rPr>
                <w:rFonts w:asciiTheme="majorHAnsi" w:hAnsiTheme="majorHAnsi"/>
                <w:noProof/>
                <w:webHidden/>
              </w:rPr>
              <w:fldChar w:fldCharType="end"/>
            </w:r>
          </w:hyperlink>
        </w:p>
        <w:p w14:paraId="0A7C5D2F" w14:textId="77777777" w:rsidR="00EC2491" w:rsidRPr="00D753C6" w:rsidRDefault="007F7D88" w:rsidP="00D753C6">
          <w:pPr>
            <w:pStyle w:val="TDC1"/>
            <w:tabs>
              <w:tab w:val="left" w:pos="440"/>
            </w:tabs>
            <w:spacing w:after="0" w:line="240" w:lineRule="auto"/>
            <w:rPr>
              <w:rFonts w:asciiTheme="majorHAnsi" w:eastAsiaTheme="minorEastAsia" w:hAnsiTheme="majorHAnsi"/>
              <w:noProof/>
              <w:lang w:eastAsia="es-CO"/>
            </w:rPr>
          </w:pPr>
          <w:hyperlink w:anchor="_Toc4680864" w:history="1">
            <w:r w:rsidR="00EC2491" w:rsidRPr="00D753C6">
              <w:rPr>
                <w:rStyle w:val="Hipervnculo"/>
                <w:rFonts w:asciiTheme="majorHAnsi" w:hAnsiTheme="majorHAnsi"/>
                <w:b/>
                <w:noProof/>
              </w:rPr>
              <w:t>5.</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Direccionamiento del Plan Nacional</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_Toc4680864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12</w:t>
            </w:r>
            <w:r w:rsidR="00EC2491" w:rsidRPr="00D753C6">
              <w:rPr>
                <w:rFonts w:asciiTheme="majorHAnsi" w:hAnsiTheme="majorHAnsi"/>
                <w:noProof/>
                <w:webHidden/>
              </w:rPr>
              <w:fldChar w:fldCharType="end"/>
            </w:r>
          </w:hyperlink>
        </w:p>
        <w:p w14:paraId="600F7C75" w14:textId="77777777" w:rsidR="00EC2491" w:rsidRPr="00D753C6" w:rsidRDefault="007F7D88" w:rsidP="00D753C6">
          <w:pPr>
            <w:pStyle w:val="TDC2"/>
            <w:tabs>
              <w:tab w:val="left" w:pos="880"/>
              <w:tab w:val="right" w:leader="dot" w:pos="8828"/>
            </w:tabs>
            <w:spacing w:after="0" w:line="240" w:lineRule="auto"/>
            <w:rPr>
              <w:rFonts w:asciiTheme="majorHAnsi" w:eastAsiaTheme="minorEastAsia" w:hAnsiTheme="majorHAnsi"/>
              <w:noProof/>
              <w:lang w:eastAsia="es-CO"/>
            </w:rPr>
          </w:pPr>
          <w:hyperlink w:anchor="_Toc4680867" w:history="1">
            <w:r w:rsidR="00EC2491" w:rsidRPr="00D753C6">
              <w:rPr>
                <w:rStyle w:val="Hipervnculo"/>
                <w:rFonts w:asciiTheme="majorHAnsi" w:hAnsiTheme="majorHAnsi"/>
                <w:noProof/>
              </w:rPr>
              <w:t>5.1</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noProof/>
              </w:rPr>
              <w:t>Visión</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_Toc4680867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12</w:t>
            </w:r>
            <w:r w:rsidR="00EC2491" w:rsidRPr="00D753C6">
              <w:rPr>
                <w:rFonts w:asciiTheme="majorHAnsi" w:hAnsiTheme="majorHAnsi"/>
                <w:noProof/>
                <w:webHidden/>
              </w:rPr>
              <w:fldChar w:fldCharType="end"/>
            </w:r>
          </w:hyperlink>
        </w:p>
        <w:p w14:paraId="4D269109" w14:textId="77777777" w:rsidR="00EC2491" w:rsidRPr="00D753C6" w:rsidRDefault="007F7D88" w:rsidP="00D753C6">
          <w:pPr>
            <w:pStyle w:val="TDC2"/>
            <w:tabs>
              <w:tab w:val="left" w:pos="880"/>
              <w:tab w:val="right" w:leader="dot" w:pos="8828"/>
            </w:tabs>
            <w:spacing w:after="0" w:line="240" w:lineRule="auto"/>
            <w:rPr>
              <w:rFonts w:asciiTheme="majorHAnsi" w:eastAsiaTheme="minorEastAsia" w:hAnsiTheme="majorHAnsi"/>
              <w:noProof/>
              <w:lang w:eastAsia="es-CO"/>
            </w:rPr>
          </w:pPr>
          <w:hyperlink w:anchor="_Toc4680868" w:history="1">
            <w:r w:rsidR="00EC2491" w:rsidRPr="00D753C6">
              <w:rPr>
                <w:rStyle w:val="Hipervnculo"/>
                <w:rFonts w:asciiTheme="majorHAnsi" w:hAnsiTheme="majorHAnsi"/>
                <w:noProof/>
              </w:rPr>
              <w:t>5.2</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noProof/>
              </w:rPr>
              <w:t>Principios</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_Toc4680868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12</w:t>
            </w:r>
            <w:r w:rsidR="00EC2491" w:rsidRPr="00D753C6">
              <w:rPr>
                <w:rFonts w:asciiTheme="majorHAnsi" w:hAnsiTheme="majorHAnsi"/>
                <w:noProof/>
                <w:webHidden/>
              </w:rPr>
              <w:fldChar w:fldCharType="end"/>
            </w:r>
          </w:hyperlink>
        </w:p>
        <w:p w14:paraId="5B96DBC3" w14:textId="77777777" w:rsidR="00EC2491" w:rsidRPr="00D753C6" w:rsidRDefault="007F7D88" w:rsidP="00D753C6">
          <w:pPr>
            <w:pStyle w:val="TDC2"/>
            <w:tabs>
              <w:tab w:val="left" w:pos="880"/>
              <w:tab w:val="right" w:leader="dot" w:pos="8828"/>
            </w:tabs>
            <w:spacing w:after="0" w:line="240" w:lineRule="auto"/>
            <w:rPr>
              <w:rFonts w:asciiTheme="majorHAnsi" w:eastAsiaTheme="minorEastAsia" w:hAnsiTheme="majorHAnsi"/>
              <w:noProof/>
              <w:lang w:eastAsia="es-CO"/>
            </w:rPr>
          </w:pPr>
          <w:hyperlink w:anchor="_Toc4680869" w:history="1">
            <w:r w:rsidR="00EC2491" w:rsidRPr="00D753C6">
              <w:rPr>
                <w:rStyle w:val="Hipervnculo"/>
                <w:rFonts w:asciiTheme="majorHAnsi" w:hAnsiTheme="majorHAnsi"/>
                <w:noProof/>
              </w:rPr>
              <w:t>5.3</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noProof/>
              </w:rPr>
              <w:t>Objetivo general</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_Toc4680869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15</w:t>
            </w:r>
            <w:r w:rsidR="00EC2491" w:rsidRPr="00D753C6">
              <w:rPr>
                <w:rFonts w:asciiTheme="majorHAnsi" w:hAnsiTheme="majorHAnsi"/>
                <w:noProof/>
                <w:webHidden/>
              </w:rPr>
              <w:fldChar w:fldCharType="end"/>
            </w:r>
          </w:hyperlink>
        </w:p>
        <w:p w14:paraId="4579AB58" w14:textId="77777777" w:rsidR="00EC2491" w:rsidRPr="00D753C6" w:rsidRDefault="007F7D88" w:rsidP="00D753C6">
          <w:pPr>
            <w:pStyle w:val="TDC2"/>
            <w:tabs>
              <w:tab w:val="left" w:pos="880"/>
              <w:tab w:val="right" w:leader="dot" w:pos="8828"/>
            </w:tabs>
            <w:spacing w:after="0" w:line="240" w:lineRule="auto"/>
            <w:rPr>
              <w:rFonts w:asciiTheme="majorHAnsi" w:eastAsiaTheme="minorEastAsia" w:hAnsiTheme="majorHAnsi"/>
              <w:noProof/>
              <w:lang w:eastAsia="es-CO"/>
            </w:rPr>
          </w:pPr>
          <w:hyperlink w:anchor="_Toc4680870" w:history="1">
            <w:r w:rsidR="00EC2491" w:rsidRPr="00D753C6">
              <w:rPr>
                <w:rStyle w:val="Hipervnculo"/>
                <w:rFonts w:asciiTheme="majorHAnsi" w:hAnsiTheme="majorHAnsi"/>
                <w:noProof/>
              </w:rPr>
              <w:t>5.4</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noProof/>
              </w:rPr>
              <w:t>Objetivos específicos</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_Toc4680870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16</w:t>
            </w:r>
            <w:r w:rsidR="00EC2491" w:rsidRPr="00D753C6">
              <w:rPr>
                <w:rFonts w:asciiTheme="majorHAnsi" w:hAnsiTheme="majorHAnsi"/>
                <w:noProof/>
                <w:webHidden/>
              </w:rPr>
              <w:fldChar w:fldCharType="end"/>
            </w:r>
          </w:hyperlink>
        </w:p>
        <w:p w14:paraId="67AF3133" w14:textId="77777777" w:rsidR="00EC2491" w:rsidRPr="00D753C6" w:rsidRDefault="007F7D88" w:rsidP="00D753C6">
          <w:pPr>
            <w:pStyle w:val="TDC1"/>
            <w:tabs>
              <w:tab w:val="left" w:pos="440"/>
            </w:tabs>
            <w:spacing w:after="0" w:line="240" w:lineRule="auto"/>
            <w:rPr>
              <w:rFonts w:asciiTheme="majorHAnsi" w:eastAsiaTheme="minorEastAsia" w:hAnsiTheme="majorHAnsi"/>
              <w:noProof/>
              <w:lang w:eastAsia="es-CO"/>
            </w:rPr>
          </w:pPr>
          <w:hyperlink w:anchor="_Toc4680871" w:history="1">
            <w:r w:rsidR="00EC2491" w:rsidRPr="00D753C6">
              <w:rPr>
                <w:rStyle w:val="Hipervnculo"/>
                <w:rFonts w:asciiTheme="majorHAnsi" w:hAnsiTheme="majorHAnsi"/>
                <w:b/>
                <w:noProof/>
              </w:rPr>
              <w:t>6.</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Plan de Acción</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_Toc4680871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16</w:t>
            </w:r>
            <w:r w:rsidR="00EC2491" w:rsidRPr="00D753C6">
              <w:rPr>
                <w:rFonts w:asciiTheme="majorHAnsi" w:hAnsiTheme="majorHAnsi"/>
                <w:noProof/>
                <w:webHidden/>
              </w:rPr>
              <w:fldChar w:fldCharType="end"/>
            </w:r>
          </w:hyperlink>
        </w:p>
        <w:p w14:paraId="46FF5063" w14:textId="77777777" w:rsidR="00EC2491" w:rsidRPr="00D753C6" w:rsidRDefault="007F7D88" w:rsidP="00D753C6">
          <w:pPr>
            <w:pStyle w:val="TDC2"/>
            <w:tabs>
              <w:tab w:val="left" w:pos="880"/>
              <w:tab w:val="right" w:leader="dot" w:pos="8828"/>
            </w:tabs>
            <w:spacing w:after="0" w:line="240" w:lineRule="auto"/>
            <w:rPr>
              <w:rFonts w:asciiTheme="majorHAnsi" w:eastAsiaTheme="minorEastAsia" w:hAnsiTheme="majorHAnsi"/>
              <w:noProof/>
              <w:lang w:eastAsia="es-CO"/>
            </w:rPr>
          </w:pPr>
          <w:hyperlink w:anchor="_Toc4680872" w:history="1">
            <w:r w:rsidR="00EC2491" w:rsidRPr="00D753C6">
              <w:rPr>
                <w:rStyle w:val="Hipervnculo"/>
                <w:rFonts w:asciiTheme="majorHAnsi" w:hAnsiTheme="majorHAnsi" w:cstheme="majorHAnsi"/>
                <w:noProof/>
              </w:rPr>
              <w:t>6.1</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cstheme="majorHAnsi"/>
                <w:i/>
                <w:noProof/>
              </w:rPr>
              <w:t>Estrategia 1. Alistamiento Institucional</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_Toc4680872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16</w:t>
            </w:r>
            <w:r w:rsidR="00EC2491" w:rsidRPr="00D753C6">
              <w:rPr>
                <w:rFonts w:asciiTheme="majorHAnsi" w:hAnsiTheme="majorHAnsi"/>
                <w:noProof/>
                <w:webHidden/>
              </w:rPr>
              <w:fldChar w:fldCharType="end"/>
            </w:r>
          </w:hyperlink>
        </w:p>
        <w:p w14:paraId="4BBBBE28" w14:textId="77777777" w:rsidR="00EC2491" w:rsidRPr="00D753C6" w:rsidRDefault="007F7D88" w:rsidP="00D753C6">
          <w:pPr>
            <w:pStyle w:val="TDC3"/>
            <w:tabs>
              <w:tab w:val="right" w:leader="dot" w:pos="8828"/>
            </w:tabs>
            <w:spacing w:after="0" w:line="240" w:lineRule="auto"/>
            <w:rPr>
              <w:rFonts w:asciiTheme="majorHAnsi" w:eastAsiaTheme="minorEastAsia" w:hAnsiTheme="majorHAnsi"/>
              <w:noProof/>
              <w:lang w:eastAsia="es-CO"/>
            </w:rPr>
          </w:pPr>
          <w:hyperlink w:anchor="_Toc4680873" w:history="1">
            <w:r w:rsidR="00EC2491" w:rsidRPr="00D753C6">
              <w:rPr>
                <w:rStyle w:val="Hipervnculo"/>
                <w:rFonts w:asciiTheme="majorHAnsi" w:hAnsiTheme="majorHAnsi" w:cstheme="majorHAnsi"/>
                <w:i/>
                <w:noProof/>
              </w:rPr>
              <w:t>Acción 1.1 Expedición del marco regulatorio del SNIA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_Toc4680873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16</w:t>
            </w:r>
            <w:r w:rsidR="00EC2491" w:rsidRPr="00D753C6">
              <w:rPr>
                <w:rFonts w:asciiTheme="majorHAnsi" w:hAnsiTheme="majorHAnsi"/>
                <w:noProof/>
                <w:webHidden/>
              </w:rPr>
              <w:fldChar w:fldCharType="end"/>
            </w:r>
          </w:hyperlink>
        </w:p>
        <w:p w14:paraId="7C7AD659" w14:textId="77777777" w:rsidR="00EC2491" w:rsidRPr="00D753C6" w:rsidRDefault="007F7D88" w:rsidP="00D753C6">
          <w:pPr>
            <w:pStyle w:val="TDC3"/>
            <w:tabs>
              <w:tab w:val="right" w:leader="dot" w:pos="8828"/>
            </w:tabs>
            <w:spacing w:after="0" w:line="240" w:lineRule="auto"/>
            <w:rPr>
              <w:rFonts w:asciiTheme="majorHAnsi" w:eastAsiaTheme="minorEastAsia" w:hAnsiTheme="majorHAnsi"/>
              <w:noProof/>
              <w:lang w:eastAsia="es-CO"/>
            </w:rPr>
          </w:pPr>
          <w:hyperlink w:anchor="_Toc4680874" w:history="1">
            <w:r w:rsidR="00EC2491" w:rsidRPr="00D753C6">
              <w:rPr>
                <w:rStyle w:val="Hipervnculo"/>
                <w:rFonts w:asciiTheme="majorHAnsi" w:hAnsiTheme="majorHAnsi" w:cstheme="majorHAnsi"/>
                <w:i/>
                <w:noProof/>
              </w:rPr>
              <w:t>Acción 1.2 Acompañamiento técnico para la formulación de los PDEA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_Toc4680874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17</w:t>
            </w:r>
            <w:r w:rsidR="00EC2491" w:rsidRPr="00D753C6">
              <w:rPr>
                <w:rFonts w:asciiTheme="majorHAnsi" w:hAnsiTheme="majorHAnsi"/>
                <w:noProof/>
                <w:webHidden/>
              </w:rPr>
              <w:fldChar w:fldCharType="end"/>
            </w:r>
          </w:hyperlink>
        </w:p>
        <w:p w14:paraId="0F7E2206" w14:textId="77777777" w:rsidR="00EC2491" w:rsidRPr="00D753C6" w:rsidRDefault="007F7D88" w:rsidP="00D753C6">
          <w:pPr>
            <w:pStyle w:val="TDC3"/>
            <w:tabs>
              <w:tab w:val="right" w:leader="dot" w:pos="8828"/>
            </w:tabs>
            <w:spacing w:after="0" w:line="240" w:lineRule="auto"/>
            <w:rPr>
              <w:rFonts w:asciiTheme="majorHAnsi" w:eastAsiaTheme="minorEastAsia" w:hAnsiTheme="majorHAnsi"/>
              <w:noProof/>
              <w:lang w:eastAsia="es-CO"/>
            </w:rPr>
          </w:pPr>
          <w:hyperlink w:anchor="_Toc4680875" w:history="1">
            <w:r w:rsidR="00EC2491" w:rsidRPr="00D753C6">
              <w:rPr>
                <w:rStyle w:val="Hipervnculo"/>
                <w:rFonts w:asciiTheme="majorHAnsi" w:hAnsiTheme="majorHAnsi" w:cstheme="majorHAnsi"/>
                <w:i/>
                <w:noProof/>
              </w:rPr>
              <w:t>Acción 1.3 Formulación de los PDEA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_Toc4680875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17</w:t>
            </w:r>
            <w:r w:rsidR="00EC2491" w:rsidRPr="00D753C6">
              <w:rPr>
                <w:rFonts w:asciiTheme="majorHAnsi" w:hAnsiTheme="majorHAnsi"/>
                <w:noProof/>
                <w:webHidden/>
              </w:rPr>
              <w:fldChar w:fldCharType="end"/>
            </w:r>
          </w:hyperlink>
        </w:p>
        <w:p w14:paraId="74EC063C" w14:textId="77777777" w:rsidR="00EC2491" w:rsidRPr="00D753C6" w:rsidRDefault="007F7D88" w:rsidP="00D753C6">
          <w:pPr>
            <w:pStyle w:val="TDC3"/>
            <w:tabs>
              <w:tab w:val="right" w:leader="dot" w:pos="8828"/>
            </w:tabs>
            <w:spacing w:after="0" w:line="240" w:lineRule="auto"/>
            <w:rPr>
              <w:rFonts w:asciiTheme="majorHAnsi" w:eastAsiaTheme="minorEastAsia" w:hAnsiTheme="majorHAnsi"/>
              <w:noProof/>
              <w:lang w:eastAsia="es-CO"/>
            </w:rPr>
          </w:pPr>
          <w:hyperlink w:anchor="_Toc4680876" w:history="1">
            <w:r w:rsidR="00EC2491" w:rsidRPr="00D753C6">
              <w:rPr>
                <w:rStyle w:val="Hipervnculo"/>
                <w:rFonts w:asciiTheme="majorHAnsi" w:hAnsiTheme="majorHAnsi" w:cstheme="majorHAnsi"/>
                <w:i/>
                <w:noProof/>
              </w:rPr>
              <w:t>Acción 1.4 Coordinación del soporte al Subsistema Nacional de Extensión Agropecuaria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_Toc4680876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17</w:t>
            </w:r>
            <w:r w:rsidR="00EC2491" w:rsidRPr="00D753C6">
              <w:rPr>
                <w:rFonts w:asciiTheme="majorHAnsi" w:hAnsiTheme="majorHAnsi"/>
                <w:noProof/>
                <w:webHidden/>
              </w:rPr>
              <w:fldChar w:fldCharType="end"/>
            </w:r>
          </w:hyperlink>
        </w:p>
        <w:p w14:paraId="1DB825A2" w14:textId="77777777" w:rsidR="00EC2491" w:rsidRPr="00D753C6" w:rsidRDefault="007F7D88" w:rsidP="00D753C6">
          <w:pPr>
            <w:pStyle w:val="TDC3"/>
            <w:tabs>
              <w:tab w:val="right" w:leader="dot" w:pos="8828"/>
            </w:tabs>
            <w:spacing w:after="0" w:line="240" w:lineRule="auto"/>
            <w:rPr>
              <w:rFonts w:asciiTheme="majorHAnsi" w:eastAsiaTheme="minorEastAsia" w:hAnsiTheme="majorHAnsi"/>
              <w:noProof/>
              <w:lang w:eastAsia="es-CO"/>
            </w:rPr>
          </w:pPr>
          <w:hyperlink w:anchor="_Toc4680877" w:history="1">
            <w:r w:rsidR="00EC2491" w:rsidRPr="00D753C6">
              <w:rPr>
                <w:rStyle w:val="Hipervnculo"/>
                <w:rFonts w:asciiTheme="majorHAnsi" w:hAnsiTheme="majorHAnsi" w:cstheme="majorHAnsi"/>
                <w:i/>
                <w:noProof/>
              </w:rPr>
              <w:t>Acción 1.5 Habilitación a las Entidades Prestadoras del Servicio de Extensión Agropecuaria –EPSEA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_Toc4680877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18</w:t>
            </w:r>
            <w:r w:rsidR="00EC2491" w:rsidRPr="00D753C6">
              <w:rPr>
                <w:rFonts w:asciiTheme="majorHAnsi" w:hAnsiTheme="majorHAnsi"/>
                <w:noProof/>
                <w:webHidden/>
              </w:rPr>
              <w:fldChar w:fldCharType="end"/>
            </w:r>
          </w:hyperlink>
        </w:p>
        <w:p w14:paraId="3C8878D1" w14:textId="77777777" w:rsidR="00EC2491" w:rsidRPr="00D753C6" w:rsidRDefault="007F7D88" w:rsidP="00D753C6">
          <w:pPr>
            <w:pStyle w:val="TDC2"/>
            <w:tabs>
              <w:tab w:val="left" w:pos="880"/>
              <w:tab w:val="right" w:leader="dot" w:pos="8828"/>
            </w:tabs>
            <w:spacing w:after="0" w:line="240" w:lineRule="auto"/>
            <w:rPr>
              <w:rFonts w:asciiTheme="majorHAnsi" w:eastAsiaTheme="minorEastAsia" w:hAnsiTheme="majorHAnsi"/>
              <w:noProof/>
              <w:lang w:eastAsia="es-CO"/>
            </w:rPr>
          </w:pPr>
          <w:hyperlink w:anchor="_Toc4680878" w:history="1">
            <w:r w:rsidR="00EC2491" w:rsidRPr="00D753C6">
              <w:rPr>
                <w:rStyle w:val="Hipervnculo"/>
                <w:rFonts w:asciiTheme="majorHAnsi" w:hAnsiTheme="majorHAnsi" w:cstheme="majorHAnsi"/>
                <w:noProof/>
              </w:rPr>
              <w:t>6.2</w:t>
            </w:r>
            <w:r w:rsidR="00EC2491" w:rsidRPr="00D753C6">
              <w:rPr>
                <w:rFonts w:asciiTheme="majorHAnsi" w:eastAsiaTheme="minorEastAsia" w:hAnsiTheme="majorHAnsi"/>
                <w:noProof/>
                <w:lang w:eastAsia="es-CO"/>
              </w:rPr>
              <w:tab/>
            </w:r>
            <w:r w:rsidR="00EC2491" w:rsidRPr="00D753C6">
              <w:rPr>
                <w:rStyle w:val="Hipervnculo"/>
                <w:rFonts w:asciiTheme="majorHAnsi" w:hAnsiTheme="majorHAnsi" w:cstheme="majorHAnsi"/>
                <w:i/>
                <w:noProof/>
              </w:rPr>
              <w:t>Estrategia 2. Prestación del servicio de extensión agropecuaria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_Toc4680878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19</w:t>
            </w:r>
            <w:r w:rsidR="00EC2491" w:rsidRPr="00D753C6">
              <w:rPr>
                <w:rFonts w:asciiTheme="majorHAnsi" w:hAnsiTheme="majorHAnsi"/>
                <w:noProof/>
                <w:webHidden/>
              </w:rPr>
              <w:fldChar w:fldCharType="end"/>
            </w:r>
          </w:hyperlink>
        </w:p>
        <w:p w14:paraId="5A8FAFE8" w14:textId="77777777" w:rsidR="00EC2491" w:rsidRPr="00D753C6" w:rsidRDefault="007F7D88" w:rsidP="00D753C6">
          <w:pPr>
            <w:pStyle w:val="TDC3"/>
            <w:tabs>
              <w:tab w:val="right" w:leader="dot" w:pos="8828"/>
            </w:tabs>
            <w:spacing w:after="0" w:line="240" w:lineRule="auto"/>
            <w:rPr>
              <w:rFonts w:asciiTheme="majorHAnsi" w:eastAsiaTheme="minorEastAsia" w:hAnsiTheme="majorHAnsi"/>
              <w:noProof/>
              <w:lang w:eastAsia="es-CO"/>
            </w:rPr>
          </w:pPr>
          <w:hyperlink w:anchor="_Toc4680879" w:history="1">
            <w:r w:rsidR="00EC2491" w:rsidRPr="00D753C6">
              <w:rPr>
                <w:rStyle w:val="Hipervnculo"/>
                <w:rFonts w:asciiTheme="majorHAnsi" w:hAnsiTheme="majorHAnsi" w:cstheme="majorHAnsi"/>
                <w:i/>
                <w:noProof/>
              </w:rPr>
              <w:t>Acción 2.1 Registro y clasificación de usuarios de extensión agropecuaria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_Toc4680879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19</w:t>
            </w:r>
            <w:r w:rsidR="00EC2491" w:rsidRPr="00D753C6">
              <w:rPr>
                <w:rFonts w:asciiTheme="majorHAnsi" w:hAnsiTheme="majorHAnsi"/>
                <w:noProof/>
                <w:webHidden/>
              </w:rPr>
              <w:fldChar w:fldCharType="end"/>
            </w:r>
          </w:hyperlink>
        </w:p>
        <w:p w14:paraId="555C4A25" w14:textId="77777777" w:rsidR="00EC2491" w:rsidRPr="00D753C6" w:rsidRDefault="007F7D88" w:rsidP="00D753C6">
          <w:pPr>
            <w:pStyle w:val="TDC3"/>
            <w:tabs>
              <w:tab w:val="right" w:leader="dot" w:pos="8828"/>
            </w:tabs>
            <w:spacing w:after="0" w:line="240" w:lineRule="auto"/>
            <w:rPr>
              <w:rFonts w:asciiTheme="majorHAnsi" w:eastAsiaTheme="minorEastAsia" w:hAnsiTheme="majorHAnsi"/>
              <w:noProof/>
              <w:lang w:eastAsia="es-CO"/>
            </w:rPr>
          </w:pPr>
          <w:hyperlink w:anchor="_Toc4680880" w:history="1">
            <w:r w:rsidR="00EC2491" w:rsidRPr="00D753C6">
              <w:rPr>
                <w:rStyle w:val="Hipervnculo"/>
                <w:rFonts w:asciiTheme="majorHAnsi" w:hAnsiTheme="majorHAnsi" w:cstheme="majorHAnsi"/>
                <w:i/>
                <w:noProof/>
              </w:rPr>
              <w:t>Acción 2.2 Prestación del servicio de extensión agropecuaria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_Toc4680880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20</w:t>
            </w:r>
            <w:r w:rsidR="00EC2491" w:rsidRPr="00D753C6">
              <w:rPr>
                <w:rFonts w:asciiTheme="majorHAnsi" w:hAnsiTheme="majorHAnsi"/>
                <w:noProof/>
                <w:webHidden/>
              </w:rPr>
              <w:fldChar w:fldCharType="end"/>
            </w:r>
          </w:hyperlink>
        </w:p>
        <w:p w14:paraId="509558BD" w14:textId="77777777" w:rsidR="00EC2491" w:rsidRPr="00D753C6" w:rsidRDefault="007F7D88" w:rsidP="00D753C6">
          <w:pPr>
            <w:pStyle w:val="TDC2"/>
            <w:tabs>
              <w:tab w:val="right" w:leader="dot" w:pos="8828"/>
            </w:tabs>
            <w:spacing w:after="0" w:line="240" w:lineRule="auto"/>
            <w:rPr>
              <w:rFonts w:asciiTheme="majorHAnsi" w:eastAsiaTheme="minorEastAsia" w:hAnsiTheme="majorHAnsi"/>
              <w:noProof/>
              <w:lang w:eastAsia="es-CO"/>
            </w:rPr>
          </w:pPr>
          <w:hyperlink w:anchor="_Toc4680881" w:history="1">
            <w:r w:rsidR="00EC2491" w:rsidRPr="00D753C6">
              <w:rPr>
                <w:rStyle w:val="Hipervnculo"/>
                <w:rFonts w:asciiTheme="majorHAnsi" w:hAnsiTheme="majorHAnsi" w:cstheme="majorHAnsi"/>
                <w:i/>
                <w:noProof/>
              </w:rPr>
              <w:t>Acción 2.3 Evaluación y seguimiento al servicio de extensión agropecuaria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_Toc4680881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21</w:t>
            </w:r>
            <w:r w:rsidR="00EC2491" w:rsidRPr="00D753C6">
              <w:rPr>
                <w:rFonts w:asciiTheme="majorHAnsi" w:hAnsiTheme="majorHAnsi"/>
                <w:noProof/>
                <w:webHidden/>
              </w:rPr>
              <w:fldChar w:fldCharType="end"/>
            </w:r>
          </w:hyperlink>
        </w:p>
        <w:p w14:paraId="0C7A28B3" w14:textId="77777777" w:rsidR="00EC2491" w:rsidRPr="00D753C6" w:rsidRDefault="007F7D88" w:rsidP="00D753C6">
          <w:pPr>
            <w:pStyle w:val="TDC1"/>
            <w:tabs>
              <w:tab w:val="left" w:pos="440"/>
            </w:tabs>
            <w:spacing w:after="0" w:line="240" w:lineRule="auto"/>
            <w:rPr>
              <w:rFonts w:asciiTheme="majorHAnsi" w:eastAsiaTheme="minorEastAsia" w:hAnsiTheme="majorHAnsi"/>
              <w:noProof/>
              <w:lang w:eastAsia="es-CO"/>
            </w:rPr>
          </w:pPr>
          <w:hyperlink w:anchor="_Toc4680882" w:history="1">
            <w:r w:rsidR="00EC2491" w:rsidRPr="00D753C6">
              <w:rPr>
                <w:rStyle w:val="Hipervnculo"/>
                <w:rFonts w:asciiTheme="majorHAnsi" w:hAnsiTheme="majorHAnsi"/>
                <w:b/>
                <w:noProof/>
              </w:rPr>
              <w:t>7.</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Seguimiento y Metas</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_Toc4680882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23</w:t>
            </w:r>
            <w:r w:rsidR="00EC2491" w:rsidRPr="00D753C6">
              <w:rPr>
                <w:rFonts w:asciiTheme="majorHAnsi" w:hAnsiTheme="majorHAnsi"/>
                <w:noProof/>
                <w:webHidden/>
              </w:rPr>
              <w:fldChar w:fldCharType="end"/>
            </w:r>
          </w:hyperlink>
        </w:p>
        <w:p w14:paraId="45780CEE" w14:textId="77777777" w:rsidR="00EC2491" w:rsidRPr="00D753C6" w:rsidRDefault="007F7D88" w:rsidP="00D753C6">
          <w:pPr>
            <w:pStyle w:val="TDC1"/>
            <w:tabs>
              <w:tab w:val="left" w:pos="440"/>
            </w:tabs>
            <w:spacing w:after="0" w:line="240" w:lineRule="auto"/>
            <w:rPr>
              <w:rFonts w:asciiTheme="majorHAnsi" w:eastAsiaTheme="minorEastAsia" w:hAnsiTheme="majorHAnsi"/>
              <w:noProof/>
              <w:lang w:eastAsia="es-CO"/>
            </w:rPr>
          </w:pPr>
          <w:hyperlink w:anchor="_Toc4680883" w:history="1">
            <w:r w:rsidR="00EC2491" w:rsidRPr="00D753C6">
              <w:rPr>
                <w:rStyle w:val="Hipervnculo"/>
                <w:rFonts w:asciiTheme="majorHAnsi" w:hAnsiTheme="majorHAnsi"/>
                <w:b/>
                <w:noProof/>
              </w:rPr>
              <w:t>8.</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Financiamiento</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_Toc4680883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25</w:t>
            </w:r>
            <w:r w:rsidR="00EC2491" w:rsidRPr="00D753C6">
              <w:rPr>
                <w:rFonts w:asciiTheme="majorHAnsi" w:hAnsiTheme="majorHAnsi"/>
                <w:noProof/>
                <w:webHidden/>
              </w:rPr>
              <w:fldChar w:fldCharType="end"/>
            </w:r>
          </w:hyperlink>
        </w:p>
        <w:p w14:paraId="2994DF41" w14:textId="77777777" w:rsidR="00EC2491" w:rsidRPr="00D753C6" w:rsidRDefault="007F7D88" w:rsidP="00D753C6">
          <w:pPr>
            <w:pStyle w:val="TDC1"/>
            <w:tabs>
              <w:tab w:val="left" w:pos="440"/>
            </w:tabs>
            <w:spacing w:after="0" w:line="240" w:lineRule="auto"/>
            <w:rPr>
              <w:rFonts w:asciiTheme="majorHAnsi" w:eastAsiaTheme="minorEastAsia" w:hAnsiTheme="majorHAnsi"/>
              <w:noProof/>
              <w:lang w:eastAsia="es-CO"/>
            </w:rPr>
          </w:pPr>
          <w:hyperlink w:anchor="_Toc4680884" w:history="1">
            <w:r w:rsidR="00EC2491" w:rsidRPr="00D753C6">
              <w:rPr>
                <w:rStyle w:val="Hipervnculo"/>
                <w:rFonts w:asciiTheme="majorHAnsi" w:hAnsiTheme="majorHAnsi"/>
                <w:b/>
                <w:noProof/>
              </w:rPr>
              <w:t>9.</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Glosario</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_Toc4680884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29</w:t>
            </w:r>
            <w:r w:rsidR="00EC2491" w:rsidRPr="00D753C6">
              <w:rPr>
                <w:rFonts w:asciiTheme="majorHAnsi" w:hAnsiTheme="majorHAnsi"/>
                <w:noProof/>
                <w:webHidden/>
              </w:rPr>
              <w:fldChar w:fldCharType="end"/>
            </w:r>
          </w:hyperlink>
        </w:p>
        <w:p w14:paraId="4F457D74" w14:textId="77777777" w:rsidR="00EC2491" w:rsidRPr="00D753C6" w:rsidRDefault="007F7D88" w:rsidP="00D753C6">
          <w:pPr>
            <w:pStyle w:val="TDC1"/>
            <w:tabs>
              <w:tab w:val="left" w:pos="660"/>
            </w:tabs>
            <w:spacing w:after="0" w:line="240" w:lineRule="auto"/>
            <w:rPr>
              <w:rFonts w:asciiTheme="majorHAnsi" w:eastAsiaTheme="minorEastAsia" w:hAnsiTheme="majorHAnsi"/>
              <w:noProof/>
              <w:lang w:eastAsia="es-CO"/>
            </w:rPr>
          </w:pPr>
          <w:hyperlink w:anchor="_Toc4680885" w:history="1">
            <w:r w:rsidR="00EC2491" w:rsidRPr="00D753C6">
              <w:rPr>
                <w:rStyle w:val="Hipervnculo"/>
                <w:rFonts w:asciiTheme="majorHAnsi" w:hAnsiTheme="majorHAnsi"/>
                <w:b/>
                <w:noProof/>
              </w:rPr>
              <w:t>10.</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Bibliografía</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_Toc4680885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29</w:t>
            </w:r>
            <w:r w:rsidR="00EC2491" w:rsidRPr="00D753C6">
              <w:rPr>
                <w:rFonts w:asciiTheme="majorHAnsi" w:hAnsiTheme="majorHAnsi"/>
                <w:noProof/>
                <w:webHidden/>
              </w:rPr>
              <w:fldChar w:fldCharType="end"/>
            </w:r>
          </w:hyperlink>
        </w:p>
        <w:p w14:paraId="37EAB7DD" w14:textId="77777777" w:rsidR="00EC2491" w:rsidRDefault="007F7D88" w:rsidP="00D753C6">
          <w:pPr>
            <w:pStyle w:val="TDC1"/>
            <w:tabs>
              <w:tab w:val="left" w:pos="660"/>
            </w:tabs>
            <w:spacing w:after="0" w:line="240" w:lineRule="auto"/>
            <w:rPr>
              <w:rFonts w:eastAsiaTheme="minorEastAsia"/>
              <w:noProof/>
              <w:lang w:eastAsia="es-CO"/>
            </w:rPr>
          </w:pPr>
          <w:hyperlink w:anchor="_Toc4680886" w:history="1">
            <w:r w:rsidR="00EC2491" w:rsidRPr="00D753C6">
              <w:rPr>
                <w:rStyle w:val="Hipervnculo"/>
                <w:rFonts w:asciiTheme="majorHAnsi" w:hAnsiTheme="majorHAnsi"/>
                <w:b/>
                <w:noProof/>
              </w:rPr>
              <w:t>11.</w:t>
            </w:r>
            <w:r w:rsidR="00EC2491" w:rsidRPr="00D753C6">
              <w:rPr>
                <w:rFonts w:asciiTheme="majorHAnsi" w:eastAsiaTheme="minorEastAsia" w:hAnsiTheme="majorHAnsi"/>
                <w:b/>
                <w:noProof/>
                <w:lang w:eastAsia="es-CO"/>
              </w:rPr>
              <w:tab/>
            </w:r>
            <w:r w:rsidR="00EC2491" w:rsidRPr="00D753C6">
              <w:rPr>
                <w:rStyle w:val="Hipervnculo"/>
                <w:rFonts w:asciiTheme="majorHAnsi" w:hAnsiTheme="majorHAnsi"/>
                <w:b/>
                <w:noProof/>
              </w:rPr>
              <w:t>Anexos</w:t>
            </w:r>
            <w:r w:rsidR="00EC2491" w:rsidRPr="00D753C6">
              <w:rPr>
                <w:rFonts w:asciiTheme="majorHAnsi" w:hAnsiTheme="majorHAnsi"/>
                <w:noProof/>
                <w:webHidden/>
              </w:rPr>
              <w:tab/>
            </w:r>
            <w:r w:rsidR="00EC2491" w:rsidRPr="00D753C6">
              <w:rPr>
                <w:rFonts w:asciiTheme="majorHAnsi" w:hAnsiTheme="majorHAnsi"/>
                <w:noProof/>
                <w:webHidden/>
              </w:rPr>
              <w:fldChar w:fldCharType="begin"/>
            </w:r>
            <w:r w:rsidR="00EC2491" w:rsidRPr="00D753C6">
              <w:rPr>
                <w:rFonts w:asciiTheme="majorHAnsi" w:hAnsiTheme="majorHAnsi"/>
                <w:noProof/>
                <w:webHidden/>
              </w:rPr>
              <w:instrText xml:space="preserve"> PAGEREF _Toc4680886 \h </w:instrText>
            </w:r>
            <w:r w:rsidR="00EC2491" w:rsidRPr="00D753C6">
              <w:rPr>
                <w:rFonts w:asciiTheme="majorHAnsi" w:hAnsiTheme="majorHAnsi"/>
                <w:noProof/>
                <w:webHidden/>
              </w:rPr>
            </w:r>
            <w:r w:rsidR="00EC2491" w:rsidRPr="00D753C6">
              <w:rPr>
                <w:rFonts w:asciiTheme="majorHAnsi" w:hAnsiTheme="majorHAnsi"/>
                <w:noProof/>
                <w:webHidden/>
              </w:rPr>
              <w:fldChar w:fldCharType="separate"/>
            </w:r>
            <w:r w:rsidR="00EC2491" w:rsidRPr="00D753C6">
              <w:rPr>
                <w:rFonts w:asciiTheme="majorHAnsi" w:hAnsiTheme="majorHAnsi"/>
                <w:noProof/>
                <w:webHidden/>
              </w:rPr>
              <w:t>29</w:t>
            </w:r>
            <w:r w:rsidR="00EC2491" w:rsidRPr="00D753C6">
              <w:rPr>
                <w:rFonts w:asciiTheme="majorHAnsi" w:hAnsiTheme="majorHAnsi"/>
                <w:noProof/>
                <w:webHidden/>
              </w:rPr>
              <w:fldChar w:fldCharType="end"/>
            </w:r>
          </w:hyperlink>
        </w:p>
        <w:p w14:paraId="76D98E3F" w14:textId="77777777" w:rsidR="007E1BAF" w:rsidRPr="00A73608" w:rsidRDefault="00F52125" w:rsidP="00D753C6">
          <w:pPr>
            <w:spacing w:after="0" w:line="240" w:lineRule="auto"/>
            <w:rPr>
              <w:rFonts w:asciiTheme="majorHAnsi" w:hAnsiTheme="majorHAnsi"/>
            </w:rPr>
          </w:pPr>
          <w:r w:rsidRPr="00A73608">
            <w:rPr>
              <w:rFonts w:asciiTheme="majorHAnsi" w:hAnsiTheme="majorHAnsi"/>
              <w:b/>
              <w:bCs/>
            </w:rPr>
            <w:fldChar w:fldCharType="end"/>
          </w:r>
        </w:p>
      </w:sdtContent>
    </w:sdt>
    <w:p w14:paraId="6D6E60FE" w14:textId="77777777" w:rsidR="00D753C6" w:rsidRDefault="00D753C6" w:rsidP="005C6C0E">
      <w:pPr>
        <w:jc w:val="both"/>
        <w:rPr>
          <w:rFonts w:asciiTheme="majorHAnsi" w:eastAsia="Times New Roman" w:hAnsiTheme="majorHAnsi" w:cs="Segoe UI"/>
          <w:b/>
          <w:lang w:val="es-MX" w:eastAsia="es-CO"/>
        </w:rPr>
      </w:pPr>
    </w:p>
    <w:p w14:paraId="58007B00" w14:textId="77777777" w:rsidR="005C6C0E" w:rsidRPr="00BF1E8C" w:rsidRDefault="005C6C0E" w:rsidP="005C6C0E">
      <w:pPr>
        <w:jc w:val="both"/>
        <w:rPr>
          <w:rFonts w:asciiTheme="majorHAnsi" w:eastAsia="Times New Roman" w:hAnsiTheme="majorHAnsi" w:cs="Segoe UI"/>
          <w:b/>
          <w:lang w:val="es-MX" w:eastAsia="es-CO"/>
        </w:rPr>
      </w:pPr>
      <w:r w:rsidRPr="00BF1E8C">
        <w:rPr>
          <w:rFonts w:asciiTheme="majorHAnsi" w:eastAsia="Times New Roman" w:hAnsiTheme="majorHAnsi" w:cs="Segoe UI"/>
          <w:b/>
          <w:lang w:val="es-MX" w:eastAsia="es-CO"/>
        </w:rPr>
        <w:t>Índice de Tablas</w:t>
      </w:r>
    </w:p>
    <w:p w14:paraId="257B8252" w14:textId="77777777" w:rsidR="005C6C0E" w:rsidRDefault="005C6C0E" w:rsidP="00D753C6">
      <w:pPr>
        <w:spacing w:after="120"/>
        <w:jc w:val="both"/>
        <w:rPr>
          <w:rFonts w:asciiTheme="majorHAnsi" w:eastAsia="Times New Roman" w:hAnsiTheme="majorHAnsi" w:cs="Segoe UI"/>
          <w:lang w:val="es-MX" w:eastAsia="es-CO"/>
        </w:rPr>
      </w:pPr>
      <w:r w:rsidRPr="00BF1E8C">
        <w:rPr>
          <w:rFonts w:asciiTheme="majorHAnsi" w:eastAsia="Times New Roman" w:hAnsiTheme="majorHAnsi" w:cs="Segoe UI"/>
          <w:b/>
          <w:lang w:val="es-MX" w:eastAsia="es-CO"/>
        </w:rPr>
        <w:t>Tabla 1.</w:t>
      </w:r>
      <w:r>
        <w:rPr>
          <w:rFonts w:asciiTheme="majorHAnsi" w:eastAsia="Times New Roman" w:hAnsiTheme="majorHAnsi" w:cs="Segoe UI"/>
          <w:lang w:val="es-MX" w:eastAsia="es-CO"/>
        </w:rPr>
        <w:t xml:space="preserve"> Estructura del Plan de Asistencia Integral Técnica</w:t>
      </w:r>
    </w:p>
    <w:p w14:paraId="0E435D08" w14:textId="77777777" w:rsidR="005C6C0E" w:rsidRPr="00A73608" w:rsidRDefault="005C6C0E" w:rsidP="00D753C6">
      <w:pPr>
        <w:pStyle w:val="Textoindependiente"/>
        <w:spacing w:after="120"/>
        <w:ind w:right="49"/>
        <w:jc w:val="both"/>
        <w:rPr>
          <w:rFonts w:asciiTheme="majorHAnsi" w:hAnsiTheme="majorHAnsi" w:cs="Calibri"/>
          <w:lang w:val="es-CO"/>
        </w:rPr>
      </w:pPr>
      <w:r>
        <w:rPr>
          <w:rFonts w:asciiTheme="majorHAnsi" w:hAnsiTheme="majorHAnsi" w:cs="Calibri"/>
          <w:b/>
          <w:lang w:val="es-CO"/>
        </w:rPr>
        <w:t>Tabla 2.</w:t>
      </w:r>
      <w:r w:rsidRPr="00A73608">
        <w:rPr>
          <w:rFonts w:asciiTheme="majorHAnsi" w:hAnsiTheme="majorHAnsi" w:cs="Calibri"/>
          <w:lang w:val="es-CO"/>
        </w:rPr>
        <w:t xml:space="preserve"> Cronología de la Asistencia Técnica Agropecuaria (ATA) y los</w:t>
      </w:r>
      <w:r>
        <w:rPr>
          <w:rFonts w:asciiTheme="majorHAnsi" w:hAnsiTheme="majorHAnsi" w:cs="Calibri"/>
          <w:lang w:val="es-CO"/>
        </w:rPr>
        <w:t xml:space="preserve"> </w:t>
      </w:r>
      <w:r w:rsidRPr="00A73608">
        <w:rPr>
          <w:rFonts w:asciiTheme="majorHAnsi" w:hAnsiTheme="majorHAnsi" w:cs="Calibri"/>
          <w:lang w:val="es-CO"/>
        </w:rPr>
        <w:t>Servicios de Extensión (SE)</w:t>
      </w:r>
    </w:p>
    <w:p w14:paraId="4954BC32" w14:textId="77777777" w:rsidR="005C6C0E" w:rsidRPr="00A73608" w:rsidRDefault="005C6C0E" w:rsidP="00D753C6">
      <w:pPr>
        <w:spacing w:after="120"/>
        <w:jc w:val="both"/>
        <w:rPr>
          <w:rFonts w:asciiTheme="majorHAnsi" w:hAnsiTheme="majorHAnsi" w:cstheme="majorHAnsi"/>
        </w:rPr>
      </w:pPr>
      <w:r w:rsidRPr="00A73608">
        <w:rPr>
          <w:rFonts w:asciiTheme="majorHAnsi" w:hAnsiTheme="majorHAnsi" w:cstheme="majorHAnsi"/>
          <w:b/>
        </w:rPr>
        <w:t>Tabla 3.</w:t>
      </w:r>
      <w:r w:rsidRPr="00A73608">
        <w:rPr>
          <w:rFonts w:asciiTheme="majorHAnsi" w:hAnsiTheme="majorHAnsi" w:cstheme="majorHAnsi"/>
        </w:rPr>
        <w:t xml:space="preserve"> Agricultores beneficiarios del servicio ATA entre 2012 y 2016.</w:t>
      </w:r>
    </w:p>
    <w:p w14:paraId="6D61DE39" w14:textId="77777777" w:rsidR="00EC2491" w:rsidRDefault="00EC2491" w:rsidP="00D753C6">
      <w:pPr>
        <w:pStyle w:val="Sinespaciado"/>
        <w:spacing w:after="120"/>
        <w:rPr>
          <w:rFonts w:asciiTheme="majorHAnsi" w:hAnsiTheme="majorHAnsi"/>
          <w:lang w:val="es-ES"/>
        </w:rPr>
      </w:pPr>
      <w:r>
        <w:rPr>
          <w:rFonts w:asciiTheme="majorHAnsi" w:hAnsiTheme="majorHAnsi"/>
          <w:b/>
          <w:lang w:val="es-ES"/>
        </w:rPr>
        <w:t xml:space="preserve">Tabla 4. </w:t>
      </w:r>
      <w:r w:rsidRPr="00B525C8">
        <w:rPr>
          <w:rFonts w:asciiTheme="majorHAnsi" w:hAnsiTheme="majorHAnsi"/>
          <w:lang w:val="es-ES"/>
        </w:rPr>
        <w:t>Cifras para el cálculo de UF en los municipios PDET</w:t>
      </w:r>
    </w:p>
    <w:p w14:paraId="324919FF" w14:textId="77777777" w:rsidR="00EC2491" w:rsidRPr="000473B9" w:rsidRDefault="00EC2491" w:rsidP="00D753C6">
      <w:pPr>
        <w:pStyle w:val="Sinespaciado"/>
        <w:spacing w:after="120"/>
        <w:rPr>
          <w:rFonts w:asciiTheme="majorHAnsi" w:hAnsiTheme="majorHAnsi" w:cstheme="majorHAnsi"/>
          <w:b/>
        </w:rPr>
      </w:pPr>
      <w:r>
        <w:rPr>
          <w:rFonts w:asciiTheme="majorHAnsi" w:hAnsiTheme="majorHAnsi" w:cstheme="majorHAnsi"/>
          <w:b/>
        </w:rPr>
        <w:t xml:space="preserve">Tabla 5. </w:t>
      </w:r>
      <w:r w:rsidRPr="001923FB">
        <w:rPr>
          <w:rFonts w:asciiTheme="majorHAnsi" w:hAnsiTheme="majorHAnsi" w:cstheme="majorHAnsi"/>
        </w:rPr>
        <w:t>Temas reglamentados por la Resolución 407 de 2018</w:t>
      </w:r>
    </w:p>
    <w:p w14:paraId="29955121" w14:textId="77777777" w:rsidR="00EC2491" w:rsidRPr="00877FEA" w:rsidRDefault="00EC2491" w:rsidP="00D753C6">
      <w:pPr>
        <w:pStyle w:val="Sinespaciado"/>
        <w:spacing w:after="120"/>
        <w:rPr>
          <w:rFonts w:asciiTheme="majorHAnsi" w:hAnsiTheme="majorHAnsi" w:cstheme="majorHAnsi"/>
        </w:rPr>
      </w:pPr>
      <w:r>
        <w:rPr>
          <w:rFonts w:asciiTheme="majorHAnsi" w:hAnsiTheme="majorHAnsi" w:cstheme="majorHAnsi"/>
          <w:b/>
        </w:rPr>
        <w:t xml:space="preserve">Tabla 6. </w:t>
      </w:r>
      <w:r>
        <w:rPr>
          <w:rFonts w:asciiTheme="majorHAnsi" w:hAnsiTheme="majorHAnsi" w:cstheme="majorHAnsi"/>
        </w:rPr>
        <w:t>Temas proyectados a reglamentar</w:t>
      </w:r>
    </w:p>
    <w:p w14:paraId="62E69BB1" w14:textId="77777777" w:rsidR="00EC2491" w:rsidRDefault="00EC2491" w:rsidP="00D753C6">
      <w:pPr>
        <w:pStyle w:val="Sinespaciado"/>
        <w:spacing w:after="120"/>
        <w:rPr>
          <w:rFonts w:asciiTheme="majorHAnsi" w:hAnsiTheme="majorHAnsi" w:cstheme="majorHAnsi"/>
        </w:rPr>
      </w:pPr>
      <w:r>
        <w:rPr>
          <w:rFonts w:asciiTheme="majorHAnsi" w:hAnsiTheme="majorHAnsi" w:cstheme="majorHAnsi"/>
          <w:b/>
        </w:rPr>
        <w:t xml:space="preserve">Tabla 7. </w:t>
      </w:r>
      <w:r>
        <w:rPr>
          <w:rFonts w:asciiTheme="majorHAnsi" w:hAnsiTheme="majorHAnsi" w:cstheme="majorHAnsi"/>
        </w:rPr>
        <w:t>Temas pendientes de implementación</w:t>
      </w:r>
    </w:p>
    <w:p w14:paraId="105E233B" w14:textId="67C8EC2D" w:rsidR="005C6C0E" w:rsidRPr="00A73608" w:rsidRDefault="00EC2491" w:rsidP="005C6C0E">
      <w:pPr>
        <w:pStyle w:val="Sinespaciado"/>
        <w:spacing w:after="120"/>
        <w:jc w:val="both"/>
        <w:rPr>
          <w:rFonts w:asciiTheme="majorHAnsi" w:hAnsiTheme="majorHAnsi"/>
          <w:sz w:val="20"/>
        </w:rPr>
      </w:pPr>
      <w:r>
        <w:rPr>
          <w:rFonts w:asciiTheme="majorHAnsi" w:eastAsia="Calibri" w:hAnsiTheme="majorHAnsi" w:cstheme="majorHAnsi"/>
          <w:b/>
          <w:lang w:val="es-MX"/>
        </w:rPr>
        <w:t>Tabla 8</w:t>
      </w:r>
      <w:r w:rsidR="005C6C0E" w:rsidRPr="005E5DF5">
        <w:rPr>
          <w:rFonts w:asciiTheme="majorHAnsi" w:hAnsiTheme="majorHAnsi"/>
          <w:b/>
          <w:sz w:val="20"/>
        </w:rPr>
        <w:t>.</w:t>
      </w:r>
      <w:r w:rsidR="005C6C0E">
        <w:rPr>
          <w:rFonts w:asciiTheme="majorHAnsi" w:hAnsiTheme="majorHAnsi"/>
          <w:sz w:val="20"/>
        </w:rPr>
        <w:t xml:space="preserve"> </w:t>
      </w:r>
      <w:r w:rsidR="005C6C0E" w:rsidRPr="00BF1E8C">
        <w:rPr>
          <w:rFonts w:asciiTheme="majorHAnsi" w:eastAsia="Calibri" w:hAnsiTheme="majorHAnsi" w:cstheme="majorHAnsi"/>
          <w:lang w:val="es-MX"/>
        </w:rPr>
        <w:t>Matriz de seguimiento del Plan de Asistencia Integral Técnica</w:t>
      </w:r>
    </w:p>
    <w:p w14:paraId="1D67407D" w14:textId="5BECEE61" w:rsidR="005C6C0E" w:rsidRPr="00A73608" w:rsidRDefault="00EC2491" w:rsidP="005C6C0E">
      <w:pPr>
        <w:pStyle w:val="Sinespaciado"/>
        <w:spacing w:after="120"/>
        <w:jc w:val="both"/>
        <w:rPr>
          <w:rFonts w:asciiTheme="majorHAnsi" w:hAnsiTheme="majorHAnsi"/>
          <w:lang w:val="es-ES"/>
        </w:rPr>
      </w:pPr>
      <w:r>
        <w:rPr>
          <w:rFonts w:asciiTheme="majorHAnsi" w:hAnsiTheme="majorHAnsi"/>
          <w:b/>
          <w:lang w:val="es-ES"/>
        </w:rPr>
        <w:t>Tabla 9</w:t>
      </w:r>
      <w:r w:rsidR="005C6C0E" w:rsidRPr="00B525C8">
        <w:rPr>
          <w:rFonts w:asciiTheme="majorHAnsi" w:hAnsiTheme="majorHAnsi"/>
          <w:b/>
          <w:lang w:val="es-ES"/>
        </w:rPr>
        <w:t>.</w:t>
      </w:r>
      <w:r w:rsidR="005C6C0E">
        <w:rPr>
          <w:rFonts w:asciiTheme="majorHAnsi" w:hAnsiTheme="majorHAnsi"/>
          <w:lang w:val="es-ES"/>
        </w:rPr>
        <w:t xml:space="preserve"> Supuestos y bases de cálculo para el costeo del servicio de extensión agropecuaria</w:t>
      </w:r>
    </w:p>
    <w:p w14:paraId="1D21BCD3" w14:textId="2FF83B18" w:rsidR="005C6C0E" w:rsidRDefault="00EC2491" w:rsidP="005C6C0E">
      <w:pPr>
        <w:pStyle w:val="Sinespaciado"/>
        <w:spacing w:after="120"/>
        <w:jc w:val="both"/>
        <w:rPr>
          <w:rFonts w:asciiTheme="majorHAnsi" w:hAnsiTheme="majorHAnsi"/>
          <w:lang w:val="es-ES"/>
        </w:rPr>
      </w:pPr>
      <w:r>
        <w:rPr>
          <w:rFonts w:asciiTheme="majorHAnsi" w:hAnsiTheme="majorHAnsi"/>
          <w:b/>
          <w:lang w:val="es-ES"/>
        </w:rPr>
        <w:t>Tabla 10</w:t>
      </w:r>
      <w:r w:rsidR="005C6C0E" w:rsidRPr="00B525C8">
        <w:rPr>
          <w:rFonts w:asciiTheme="majorHAnsi" w:hAnsiTheme="majorHAnsi"/>
          <w:b/>
          <w:lang w:val="es-ES"/>
        </w:rPr>
        <w:t>.</w:t>
      </w:r>
      <w:r w:rsidR="005C6C0E">
        <w:rPr>
          <w:rFonts w:asciiTheme="majorHAnsi" w:hAnsiTheme="majorHAnsi"/>
          <w:b/>
          <w:lang w:val="es-ES"/>
        </w:rPr>
        <w:t xml:space="preserve"> </w:t>
      </w:r>
      <w:r w:rsidR="005C6C0E" w:rsidRPr="00B525C8">
        <w:rPr>
          <w:rFonts w:asciiTheme="majorHAnsi" w:hAnsiTheme="majorHAnsi"/>
          <w:lang w:val="es-ES"/>
        </w:rPr>
        <w:t>Costeo del servicio de extensión agropecuaria</w:t>
      </w:r>
    </w:p>
    <w:p w14:paraId="5FB22D8D" w14:textId="441DCC18" w:rsidR="00EC2491" w:rsidRDefault="00EC2491" w:rsidP="00D753C6">
      <w:pPr>
        <w:rPr>
          <w:rFonts w:asciiTheme="majorHAnsi" w:hAnsiTheme="majorHAnsi"/>
        </w:rPr>
      </w:pPr>
      <w:r>
        <w:rPr>
          <w:rFonts w:asciiTheme="majorHAnsi" w:hAnsiTheme="majorHAnsi"/>
          <w:b/>
        </w:rPr>
        <w:t>Tabla 11</w:t>
      </w:r>
      <w:r w:rsidRPr="00A73608">
        <w:rPr>
          <w:rFonts w:asciiTheme="majorHAnsi" w:hAnsiTheme="majorHAnsi"/>
          <w:b/>
        </w:rPr>
        <w:t xml:space="preserve">. </w:t>
      </w:r>
      <w:r w:rsidRPr="00B525C8">
        <w:rPr>
          <w:rFonts w:asciiTheme="majorHAnsi" w:hAnsiTheme="majorHAnsi"/>
        </w:rPr>
        <w:t>Presupuesto y fuentes de recurso para la implementación del Plan de Asistencia Integral Técnica</w:t>
      </w:r>
    </w:p>
    <w:p w14:paraId="670243BF" w14:textId="77777777" w:rsidR="005C6C0E" w:rsidRDefault="005C6C0E" w:rsidP="005C6C0E">
      <w:pPr>
        <w:spacing w:after="120"/>
        <w:jc w:val="both"/>
        <w:rPr>
          <w:rFonts w:asciiTheme="majorHAnsi" w:eastAsia="Times New Roman" w:hAnsiTheme="majorHAnsi" w:cs="Segoe UI"/>
          <w:b/>
          <w:lang w:val="es-MX" w:eastAsia="es-CO"/>
        </w:rPr>
      </w:pPr>
    </w:p>
    <w:p w14:paraId="5CEDE5A7" w14:textId="36864470" w:rsidR="005C6C0E" w:rsidRPr="00BF1E8C" w:rsidRDefault="005C6C0E" w:rsidP="005C6C0E">
      <w:pPr>
        <w:spacing w:after="120"/>
        <w:jc w:val="both"/>
        <w:rPr>
          <w:rFonts w:asciiTheme="majorHAnsi" w:eastAsia="Times New Roman" w:hAnsiTheme="majorHAnsi" w:cs="Segoe UI"/>
          <w:b/>
          <w:lang w:val="es-MX" w:eastAsia="es-CO"/>
        </w:rPr>
      </w:pPr>
      <w:r w:rsidRPr="00BF1E8C">
        <w:rPr>
          <w:rFonts w:asciiTheme="majorHAnsi" w:eastAsia="Times New Roman" w:hAnsiTheme="majorHAnsi" w:cs="Segoe UI"/>
          <w:b/>
          <w:lang w:val="es-MX" w:eastAsia="es-CO"/>
        </w:rPr>
        <w:t xml:space="preserve">Índice de </w:t>
      </w:r>
      <w:r w:rsidR="00EC2491">
        <w:rPr>
          <w:rFonts w:asciiTheme="majorHAnsi" w:eastAsia="Times New Roman" w:hAnsiTheme="majorHAnsi" w:cs="Segoe UI"/>
          <w:b/>
          <w:lang w:val="es-MX" w:eastAsia="es-CO"/>
        </w:rPr>
        <w:t>Ilustraciones</w:t>
      </w:r>
    </w:p>
    <w:p w14:paraId="2D902DC2" w14:textId="77777777" w:rsidR="005C6C0E" w:rsidRDefault="005C6C0E" w:rsidP="00D753C6">
      <w:pPr>
        <w:widowControl w:val="0"/>
        <w:spacing w:after="120" w:line="240" w:lineRule="auto"/>
        <w:jc w:val="both"/>
        <w:rPr>
          <w:rFonts w:asciiTheme="majorHAnsi" w:eastAsia="Garamond" w:hAnsiTheme="majorHAnsi" w:cs="Arial"/>
        </w:rPr>
      </w:pPr>
      <w:r w:rsidRPr="006448DD">
        <w:rPr>
          <w:rFonts w:asciiTheme="majorHAnsi" w:eastAsia="Garamond" w:hAnsiTheme="majorHAnsi" w:cs="Arial"/>
          <w:b/>
        </w:rPr>
        <w:t>Ilustración 1.</w:t>
      </w:r>
      <w:r w:rsidRPr="006448DD">
        <w:rPr>
          <w:rFonts w:asciiTheme="majorHAnsi" w:eastAsia="Garamond" w:hAnsiTheme="majorHAnsi" w:cs="Arial"/>
        </w:rPr>
        <w:t xml:space="preserve"> Esquema de participación de los actores del SNIA</w:t>
      </w:r>
    </w:p>
    <w:p w14:paraId="1AC328CE" w14:textId="77777777" w:rsidR="002D709C" w:rsidRPr="005B2752" w:rsidRDefault="002D709C" w:rsidP="00D753C6">
      <w:pPr>
        <w:pStyle w:val="Sinespaciado"/>
        <w:spacing w:after="120"/>
        <w:rPr>
          <w:rFonts w:asciiTheme="majorHAnsi" w:hAnsiTheme="majorHAnsi" w:cstheme="majorHAnsi"/>
        </w:rPr>
      </w:pPr>
      <w:r>
        <w:rPr>
          <w:rFonts w:asciiTheme="majorHAnsi" w:hAnsiTheme="majorHAnsi" w:cstheme="majorHAnsi"/>
          <w:b/>
        </w:rPr>
        <w:t>Ilustración 2</w:t>
      </w:r>
      <w:r w:rsidRPr="005B2752">
        <w:rPr>
          <w:rFonts w:asciiTheme="majorHAnsi" w:hAnsiTheme="majorHAnsi" w:cstheme="majorHAnsi"/>
          <w:b/>
        </w:rPr>
        <w:t>.</w:t>
      </w:r>
      <w:r w:rsidRPr="005B2752">
        <w:rPr>
          <w:rFonts w:asciiTheme="majorHAnsi" w:hAnsiTheme="majorHAnsi" w:cstheme="majorHAnsi"/>
        </w:rPr>
        <w:t xml:space="preserve"> Componentes para realizar el registro y clasificación de usuarios de extensión agropecuaria.</w:t>
      </w:r>
    </w:p>
    <w:p w14:paraId="711F4FF8" w14:textId="77777777" w:rsidR="002D709C" w:rsidRPr="00683994" w:rsidRDefault="002D709C" w:rsidP="00D753C6">
      <w:pPr>
        <w:pStyle w:val="Sinespaciado"/>
        <w:spacing w:after="120"/>
        <w:rPr>
          <w:rFonts w:asciiTheme="majorHAnsi" w:hAnsiTheme="majorHAnsi" w:cstheme="majorHAnsi"/>
        </w:rPr>
      </w:pPr>
      <w:r>
        <w:rPr>
          <w:rFonts w:asciiTheme="majorHAnsi" w:hAnsiTheme="majorHAnsi" w:cstheme="majorHAnsi"/>
          <w:b/>
        </w:rPr>
        <w:t xml:space="preserve">Ilustración 3. </w:t>
      </w:r>
      <w:r>
        <w:rPr>
          <w:rFonts w:asciiTheme="majorHAnsi" w:hAnsiTheme="majorHAnsi" w:cstheme="majorHAnsi"/>
        </w:rPr>
        <w:t>Articulación de los Planes de la RRI y del sector agropecuario con el Plan de Asistencia Integral Técnica.</w:t>
      </w:r>
    </w:p>
    <w:p w14:paraId="57FC5E51" w14:textId="77777777" w:rsidR="00EC2491" w:rsidRDefault="00EC2491" w:rsidP="005C6C0E">
      <w:pPr>
        <w:widowControl w:val="0"/>
        <w:spacing w:after="120" w:line="240" w:lineRule="auto"/>
        <w:jc w:val="both"/>
        <w:rPr>
          <w:rFonts w:asciiTheme="majorHAnsi" w:eastAsia="Garamond" w:hAnsiTheme="majorHAnsi" w:cs="Arial"/>
        </w:rPr>
      </w:pPr>
    </w:p>
    <w:p w14:paraId="2AF1F7DE" w14:textId="77777777" w:rsidR="00DA469C" w:rsidRDefault="00DA469C" w:rsidP="008F724F">
      <w:pPr>
        <w:pStyle w:val="Ttulo1"/>
        <w:spacing w:before="0"/>
      </w:pPr>
      <w:bookmarkStart w:id="0" w:name="_Toc4680855"/>
    </w:p>
    <w:p w14:paraId="1FBEC290" w14:textId="77777777" w:rsidR="00DA469C" w:rsidRPr="00DA469C" w:rsidRDefault="00DA469C" w:rsidP="00DA469C"/>
    <w:p w14:paraId="453607A1" w14:textId="5947822D" w:rsidR="00C54FA7" w:rsidRPr="00A73608" w:rsidRDefault="00A23C60" w:rsidP="008F724F">
      <w:pPr>
        <w:pStyle w:val="Ttulo1"/>
        <w:spacing w:before="0"/>
      </w:pPr>
      <w:r w:rsidRPr="00A73608">
        <w:lastRenderedPageBreak/>
        <w:t>Resumen ejecutivo</w:t>
      </w:r>
      <w:bookmarkEnd w:id="0"/>
    </w:p>
    <w:p w14:paraId="44CF7AEA" w14:textId="77777777" w:rsidR="00B34C60" w:rsidRPr="00A73608" w:rsidRDefault="00B34C60" w:rsidP="00FE3115">
      <w:pPr>
        <w:spacing w:after="0" w:line="240" w:lineRule="auto"/>
        <w:jc w:val="both"/>
        <w:rPr>
          <w:rFonts w:asciiTheme="majorHAnsi" w:hAnsiTheme="majorHAnsi"/>
          <w:color w:val="70AD47" w:themeColor="accent6"/>
        </w:rPr>
      </w:pPr>
    </w:p>
    <w:p w14:paraId="66AB2B29" w14:textId="45FD37E6" w:rsidR="00FE3115" w:rsidRPr="00A73608" w:rsidRDefault="00FE3115" w:rsidP="00FE3115">
      <w:pPr>
        <w:spacing w:after="0" w:line="240" w:lineRule="auto"/>
        <w:jc w:val="both"/>
        <w:rPr>
          <w:rFonts w:asciiTheme="majorHAnsi" w:hAnsiTheme="majorHAnsi"/>
        </w:rPr>
      </w:pPr>
      <w:r w:rsidRPr="00A73608">
        <w:rPr>
          <w:rFonts w:asciiTheme="majorHAnsi" w:hAnsiTheme="majorHAnsi"/>
        </w:rPr>
        <w:t>La Reforma Rural Integral propuesta en el Acuerdo Final de Paz para la terminación del conflicto y la construcción de una paz estable y duradera (primer punto) reconoce la importancia de la asistencia técnica en el fortalecimiento de capacidades productivas de la economía campesina, familiar y comunitaria, de forma que el desarrollo de sus proyectos productivos sea</w:t>
      </w:r>
      <w:r w:rsidR="00D23D78" w:rsidRPr="00A73608">
        <w:rPr>
          <w:rFonts w:asciiTheme="majorHAnsi" w:hAnsiTheme="majorHAnsi"/>
        </w:rPr>
        <w:t xml:space="preserve">n </w:t>
      </w:r>
      <w:r w:rsidRPr="00A73608">
        <w:rPr>
          <w:rFonts w:asciiTheme="majorHAnsi" w:hAnsiTheme="majorHAnsi"/>
        </w:rPr>
        <w:t>exitoso</w:t>
      </w:r>
      <w:r w:rsidR="00D23D78" w:rsidRPr="00A73608">
        <w:rPr>
          <w:rFonts w:asciiTheme="majorHAnsi" w:hAnsiTheme="majorHAnsi"/>
        </w:rPr>
        <w:t>s</w:t>
      </w:r>
      <w:r w:rsidRPr="00A73608">
        <w:rPr>
          <w:rFonts w:asciiTheme="majorHAnsi" w:hAnsiTheme="majorHAnsi"/>
        </w:rPr>
        <w:t xml:space="preserve"> y se estimulen procesos de innovación tecnológica. </w:t>
      </w:r>
    </w:p>
    <w:p w14:paraId="4FA3C106" w14:textId="77777777" w:rsidR="00FE3115" w:rsidRPr="00A73608" w:rsidRDefault="00FE3115" w:rsidP="00FE3115">
      <w:pPr>
        <w:spacing w:after="0" w:line="240" w:lineRule="auto"/>
        <w:jc w:val="both"/>
        <w:rPr>
          <w:rFonts w:asciiTheme="majorHAnsi" w:hAnsiTheme="majorHAnsi"/>
        </w:rPr>
      </w:pPr>
    </w:p>
    <w:p w14:paraId="5830EA0E" w14:textId="77777777" w:rsidR="00DF0F39" w:rsidRPr="00A73608" w:rsidRDefault="007E1BAF" w:rsidP="008E3D88">
      <w:pPr>
        <w:jc w:val="both"/>
        <w:rPr>
          <w:rFonts w:asciiTheme="majorHAnsi" w:hAnsiTheme="majorHAnsi" w:cs="Arial"/>
        </w:rPr>
      </w:pPr>
      <w:r w:rsidRPr="00A73608">
        <w:rPr>
          <w:rFonts w:asciiTheme="majorHAnsi" w:hAnsiTheme="majorHAnsi"/>
        </w:rPr>
        <w:t xml:space="preserve">Como resultado de los compromisos pactados en el Acuerdo el Gobierno Nacional ha venido trabajando en el  </w:t>
      </w:r>
      <w:r w:rsidR="007006A9" w:rsidRPr="00A73608">
        <w:rPr>
          <w:rFonts w:asciiTheme="majorHAnsi" w:hAnsiTheme="majorHAnsi" w:cs="Arial"/>
        </w:rPr>
        <w:t>diseño</w:t>
      </w:r>
      <w:r w:rsidRPr="00A73608">
        <w:rPr>
          <w:rFonts w:asciiTheme="majorHAnsi" w:hAnsiTheme="majorHAnsi" w:cs="Arial"/>
        </w:rPr>
        <w:t xml:space="preserve"> del </w:t>
      </w:r>
      <w:r w:rsidR="00904202" w:rsidRPr="00A73608">
        <w:rPr>
          <w:rFonts w:asciiTheme="majorHAnsi" w:hAnsiTheme="majorHAnsi"/>
        </w:rPr>
        <w:t xml:space="preserve">Plan de Implementación de Asistencia Integral Técnica, Tecnológica y de Impulso a la Investigación </w:t>
      </w:r>
      <w:r w:rsidRPr="00A73608">
        <w:rPr>
          <w:rFonts w:asciiTheme="majorHAnsi" w:hAnsiTheme="majorHAnsi" w:cs="Arial"/>
        </w:rPr>
        <w:t>que garantice cobertura, calidad y co</w:t>
      </w:r>
      <w:r w:rsidR="007006A9" w:rsidRPr="00A73608">
        <w:rPr>
          <w:rFonts w:asciiTheme="majorHAnsi" w:hAnsiTheme="majorHAnsi" w:cs="Arial"/>
        </w:rPr>
        <w:t>ntinuidad en la prestación del s</w:t>
      </w:r>
      <w:r w:rsidRPr="00A73608">
        <w:rPr>
          <w:rFonts w:asciiTheme="majorHAnsi" w:hAnsiTheme="majorHAnsi" w:cs="Arial"/>
        </w:rPr>
        <w:t xml:space="preserve">ervicio </w:t>
      </w:r>
      <w:r w:rsidR="007006A9" w:rsidRPr="00A73608">
        <w:rPr>
          <w:rFonts w:asciiTheme="majorHAnsi" w:hAnsiTheme="majorHAnsi" w:cs="Arial"/>
        </w:rPr>
        <w:t xml:space="preserve">de </w:t>
      </w:r>
      <w:r w:rsidR="00FA4A26" w:rsidRPr="00A73608">
        <w:rPr>
          <w:rFonts w:asciiTheme="majorHAnsi" w:hAnsiTheme="majorHAnsi" w:cs="Arial"/>
        </w:rPr>
        <w:t>asistencia</w:t>
      </w:r>
      <w:r w:rsidR="007006A9" w:rsidRPr="00A73608">
        <w:rPr>
          <w:rFonts w:asciiTheme="majorHAnsi" w:hAnsiTheme="majorHAnsi" w:cs="Arial"/>
        </w:rPr>
        <w:t xml:space="preserve"> téc</w:t>
      </w:r>
      <w:r w:rsidR="00FA4A26" w:rsidRPr="00A73608">
        <w:rPr>
          <w:rFonts w:asciiTheme="majorHAnsi" w:hAnsiTheme="majorHAnsi" w:cs="Arial"/>
        </w:rPr>
        <w:t>n</w:t>
      </w:r>
      <w:r w:rsidR="00B34C60" w:rsidRPr="00A73608">
        <w:rPr>
          <w:rFonts w:asciiTheme="majorHAnsi" w:hAnsiTheme="majorHAnsi" w:cs="Arial"/>
        </w:rPr>
        <w:t>ica</w:t>
      </w:r>
      <w:r w:rsidR="007006A9" w:rsidRPr="00A73608">
        <w:rPr>
          <w:rFonts w:asciiTheme="majorHAnsi" w:hAnsiTheme="majorHAnsi" w:cs="Arial"/>
        </w:rPr>
        <w:t xml:space="preserve"> </w:t>
      </w:r>
      <w:r w:rsidRPr="00A73608">
        <w:rPr>
          <w:rFonts w:asciiTheme="majorHAnsi" w:hAnsiTheme="majorHAnsi" w:cs="Arial"/>
        </w:rPr>
        <w:t xml:space="preserve">para </w:t>
      </w:r>
      <w:r w:rsidRPr="00A73608">
        <w:rPr>
          <w:rFonts w:asciiTheme="majorHAnsi" w:hAnsiTheme="majorHAnsi"/>
        </w:rPr>
        <w:t>la</w:t>
      </w:r>
      <w:r w:rsidR="00D23D78" w:rsidRPr="00A73608">
        <w:rPr>
          <w:rFonts w:asciiTheme="majorHAnsi" w:hAnsiTheme="majorHAnsi"/>
        </w:rPr>
        <w:t xml:space="preserve">s personas vinculas a los procesos productivos de </w:t>
      </w:r>
      <w:r w:rsidRPr="00A73608">
        <w:rPr>
          <w:rFonts w:asciiTheme="majorHAnsi" w:hAnsiTheme="majorHAnsi"/>
        </w:rPr>
        <w:t xml:space="preserve"> economía campesina, familiar y comunitaria, mediante </w:t>
      </w:r>
      <w:r w:rsidRPr="00A73608">
        <w:rPr>
          <w:rFonts w:asciiTheme="majorHAnsi" w:hAnsiTheme="majorHAnsi" w:cs="Arial"/>
        </w:rPr>
        <w:t xml:space="preserve"> la gestión de conocimiento, el diagnóstico y solución problemas, el intercambio de experiencias y la construcción de capacidades individuales, colectivas y sociales con enfoque territorial y diferencial.</w:t>
      </w:r>
      <w:r w:rsidR="00B34C60" w:rsidRPr="00A73608">
        <w:rPr>
          <w:rFonts w:asciiTheme="majorHAnsi" w:hAnsiTheme="majorHAnsi" w:cs="Arial"/>
        </w:rPr>
        <w:t xml:space="preserve"> </w:t>
      </w:r>
    </w:p>
    <w:p w14:paraId="6B0162AA" w14:textId="1EADAD14" w:rsidR="00DC42DA" w:rsidRPr="00804851" w:rsidRDefault="007E1BAF" w:rsidP="00DC42DA">
      <w:pPr>
        <w:jc w:val="both"/>
        <w:rPr>
          <w:rFonts w:asciiTheme="majorHAnsi" w:eastAsia="Times New Roman" w:hAnsiTheme="majorHAnsi" w:cs="Segoe UI"/>
          <w:lang w:eastAsia="es-CO"/>
        </w:rPr>
      </w:pPr>
      <w:r w:rsidRPr="00804851">
        <w:rPr>
          <w:rFonts w:asciiTheme="majorHAnsi" w:hAnsiTheme="majorHAnsi"/>
        </w:rPr>
        <w:t xml:space="preserve">Con </w:t>
      </w:r>
      <w:r w:rsidR="00957C6D" w:rsidRPr="00804851">
        <w:rPr>
          <w:rFonts w:asciiTheme="majorHAnsi" w:hAnsiTheme="majorHAnsi"/>
        </w:rPr>
        <w:t xml:space="preserve">la implementación de </w:t>
      </w:r>
      <w:r w:rsidRPr="00804851">
        <w:rPr>
          <w:rFonts w:asciiTheme="majorHAnsi" w:hAnsiTheme="majorHAnsi"/>
        </w:rPr>
        <w:t>est</w:t>
      </w:r>
      <w:r w:rsidR="007006A9" w:rsidRPr="00804851">
        <w:rPr>
          <w:rFonts w:asciiTheme="majorHAnsi" w:hAnsiTheme="majorHAnsi"/>
        </w:rPr>
        <w:t>e plan el Gobierno se propone</w:t>
      </w:r>
      <w:r w:rsidR="001B6FE3" w:rsidRPr="00804851">
        <w:rPr>
          <w:rFonts w:asciiTheme="majorHAnsi" w:hAnsiTheme="majorHAnsi"/>
        </w:rPr>
        <w:t xml:space="preserve"> cumplir los siguientes objetivos</w:t>
      </w:r>
      <w:r w:rsidR="007006A9" w:rsidRPr="00804851">
        <w:rPr>
          <w:rFonts w:asciiTheme="majorHAnsi" w:hAnsiTheme="majorHAnsi"/>
        </w:rPr>
        <w:t>: (</w:t>
      </w:r>
      <w:r w:rsidR="005718FB" w:rsidRPr="00804851">
        <w:rPr>
          <w:rFonts w:asciiTheme="majorHAnsi" w:hAnsiTheme="majorHAnsi"/>
        </w:rPr>
        <w:t>1</w:t>
      </w:r>
      <w:r w:rsidR="007006A9" w:rsidRPr="00804851">
        <w:rPr>
          <w:rFonts w:asciiTheme="majorHAnsi" w:hAnsiTheme="majorHAnsi"/>
        </w:rPr>
        <w:t>)</w:t>
      </w:r>
      <w:r w:rsidR="00DC42DA" w:rsidRPr="00804851">
        <w:rPr>
          <w:rFonts w:asciiTheme="majorHAnsi" w:eastAsia="Times New Roman" w:hAnsiTheme="majorHAnsi" w:cs="Segoe UI"/>
          <w:lang w:val="es-MX" w:eastAsia="es-CO"/>
        </w:rPr>
        <w:t xml:space="preserve"> a</w:t>
      </w:r>
      <w:r w:rsidR="00DC42DA" w:rsidRPr="00804851">
        <w:rPr>
          <w:rFonts w:asciiTheme="majorHAnsi" w:eastAsia="Times New Roman" w:hAnsiTheme="majorHAnsi" w:cs="Segoe UI"/>
          <w:lang w:val="es-MX"/>
        </w:rPr>
        <w:t xml:space="preserve">umentar la cobertura y continuidad de la asistencia integral técnica, </w:t>
      </w:r>
      <w:r w:rsidR="00DC42DA" w:rsidRPr="00804851">
        <w:rPr>
          <w:rFonts w:asciiTheme="majorHAnsi" w:eastAsia="Times New Roman" w:hAnsiTheme="majorHAnsi" w:cs="Segoe UI"/>
        </w:rPr>
        <w:t xml:space="preserve">a partir de una oferta pública, flexible e integral que se ajuste de forma precisa a las condiciones, lenguaje y cultura de los productores; </w:t>
      </w:r>
      <w:r w:rsidR="005718FB" w:rsidRPr="00804851">
        <w:rPr>
          <w:rFonts w:asciiTheme="majorHAnsi" w:eastAsia="Times New Roman" w:hAnsiTheme="majorHAnsi" w:cs="Segoe UI"/>
          <w:lang w:eastAsia="es-CO"/>
        </w:rPr>
        <w:t xml:space="preserve"> (2</w:t>
      </w:r>
      <w:r w:rsidR="007006A9" w:rsidRPr="00804851">
        <w:rPr>
          <w:rFonts w:asciiTheme="majorHAnsi" w:eastAsia="Times New Roman" w:hAnsiTheme="majorHAnsi" w:cs="Segoe UI"/>
          <w:lang w:eastAsia="es-CO"/>
        </w:rPr>
        <w:t xml:space="preserve">) </w:t>
      </w:r>
      <w:r w:rsidR="00DC42DA" w:rsidRPr="00804851">
        <w:rPr>
          <w:rFonts w:asciiTheme="majorHAnsi" w:eastAsia="Times New Roman" w:hAnsiTheme="majorHAnsi" w:cs="Segoe UI"/>
          <w:bCs/>
          <w:lang w:eastAsia="es-CO"/>
        </w:rPr>
        <w:t>aumentar</w:t>
      </w:r>
      <w:r w:rsidR="00DC42DA" w:rsidRPr="00804851">
        <w:rPr>
          <w:rFonts w:asciiTheme="majorHAnsi" w:eastAsia="Times New Roman" w:hAnsiTheme="majorHAnsi" w:cs="Segoe UI"/>
          <w:lang w:val="es-MX" w:eastAsia="es-CO"/>
        </w:rPr>
        <w:t xml:space="preserve"> la pertinencia de la asistencia integral técnica y tecnológica mediante la prestación de un servicio planificado con enfoque sistémico, territorial, étnico, de género y diferencial; y </w:t>
      </w:r>
      <w:r w:rsidR="00DC42DA" w:rsidRPr="00804851">
        <w:rPr>
          <w:rFonts w:asciiTheme="majorHAnsi" w:eastAsia="Times New Roman" w:hAnsiTheme="majorHAnsi" w:cs="Segoe UI"/>
          <w:lang w:eastAsia="es-CO"/>
        </w:rPr>
        <w:t xml:space="preserve">(3) </w:t>
      </w:r>
      <w:r w:rsidR="00163B2E" w:rsidRPr="00804851">
        <w:rPr>
          <w:rFonts w:asciiTheme="majorHAnsi" w:eastAsia="Times New Roman" w:hAnsiTheme="majorHAnsi" w:cs="Segoe UI"/>
          <w:lang w:val="es-MX" w:eastAsia="es-CO"/>
        </w:rPr>
        <w:t>mejorar</w:t>
      </w:r>
      <w:r w:rsidR="00DC42DA" w:rsidRPr="00804851">
        <w:rPr>
          <w:rFonts w:asciiTheme="majorHAnsi" w:eastAsia="Times New Roman" w:hAnsiTheme="majorHAnsi" w:cs="Segoe UI"/>
          <w:lang w:val="es-MX" w:eastAsia="es-CO"/>
        </w:rPr>
        <w:t xml:space="preserve"> la calidad del servicio de asistencia técnica y tecnológica, mediante la habilitación de los prestadores del servicio y del seguimiento y evaluación participativa y comunitaria.</w:t>
      </w:r>
    </w:p>
    <w:p w14:paraId="01D7B6FB" w14:textId="77777777" w:rsidR="00986E36" w:rsidRPr="00804851" w:rsidRDefault="00986E36" w:rsidP="00986E36">
      <w:pPr>
        <w:jc w:val="both"/>
        <w:rPr>
          <w:rFonts w:asciiTheme="majorHAnsi" w:hAnsiTheme="majorHAnsi" w:cs="Arial"/>
        </w:rPr>
      </w:pPr>
      <w:r w:rsidRPr="00A73608">
        <w:rPr>
          <w:rFonts w:asciiTheme="majorHAnsi" w:hAnsiTheme="majorHAnsi" w:cs="Arial"/>
        </w:rPr>
        <w:t xml:space="preserve">Es </w:t>
      </w:r>
      <w:r w:rsidRPr="00804851">
        <w:rPr>
          <w:rFonts w:asciiTheme="majorHAnsi" w:hAnsiTheme="majorHAnsi" w:cs="Arial"/>
        </w:rPr>
        <w:t xml:space="preserve">importante aclarar que el Plan definido en el Acuerdo final de paz aborda el servicio como “Asistencia Integral Técnica”, sin embargo desde el marco normativo vigente aprobado en el marco del fast-track con la Ley 1876 del 29 de diciembre 2017, se aborda como </w:t>
      </w:r>
      <w:r w:rsidRPr="00804851">
        <w:rPr>
          <w:rFonts w:asciiTheme="majorHAnsi" w:hAnsiTheme="majorHAnsi" w:cs="Arial"/>
          <w:b/>
        </w:rPr>
        <w:t>“servicio público de extensión agropecuaria”.</w:t>
      </w:r>
      <w:r w:rsidRPr="00804851">
        <w:rPr>
          <w:rFonts w:asciiTheme="majorHAnsi" w:hAnsiTheme="majorHAnsi" w:cs="Arial"/>
        </w:rPr>
        <w:t xml:space="preserve"> En ese sentido, se ajustó el plan, haciendo referencia a la extensión agropecuaria, la cual recoge los criterios para la prestación del servicio definidos en el Acuerdo Final de Paz. </w:t>
      </w:r>
    </w:p>
    <w:p w14:paraId="73E0489B" w14:textId="5127D160" w:rsidR="001966E0" w:rsidRDefault="00986E36" w:rsidP="009528AB">
      <w:pPr>
        <w:jc w:val="both"/>
        <w:rPr>
          <w:rFonts w:asciiTheme="majorHAnsi" w:eastAsia="Times New Roman" w:hAnsiTheme="majorHAnsi" w:cs="Segoe UI"/>
          <w:lang w:val="es-MX" w:eastAsia="es-CO"/>
        </w:rPr>
      </w:pPr>
      <w:r>
        <w:rPr>
          <w:rFonts w:asciiTheme="majorHAnsi" w:eastAsia="Times New Roman" w:hAnsiTheme="majorHAnsi" w:cs="Segoe UI"/>
          <w:lang w:val="es-MX" w:eastAsia="es-CO"/>
        </w:rPr>
        <w:t>E</w:t>
      </w:r>
      <w:r w:rsidR="003C3933" w:rsidRPr="00804851">
        <w:rPr>
          <w:rFonts w:asciiTheme="majorHAnsi" w:eastAsia="Times New Roman" w:hAnsiTheme="majorHAnsi" w:cs="Segoe UI"/>
          <w:lang w:val="es-MX" w:eastAsia="es-CO"/>
        </w:rPr>
        <w:t>n el siguiente cuad</w:t>
      </w:r>
      <w:r w:rsidR="00C7437C" w:rsidRPr="00804851">
        <w:rPr>
          <w:rFonts w:asciiTheme="majorHAnsi" w:eastAsia="Times New Roman" w:hAnsiTheme="majorHAnsi" w:cs="Segoe UI"/>
          <w:lang w:val="es-MX" w:eastAsia="es-CO"/>
        </w:rPr>
        <w:t>ro se detallan las es</w:t>
      </w:r>
      <w:r w:rsidR="00C7437C" w:rsidRPr="00A73608">
        <w:rPr>
          <w:rFonts w:asciiTheme="majorHAnsi" w:eastAsia="Times New Roman" w:hAnsiTheme="majorHAnsi" w:cs="Segoe UI"/>
          <w:lang w:val="es-MX" w:eastAsia="es-CO"/>
        </w:rPr>
        <w:t>trategias</w:t>
      </w:r>
      <w:r>
        <w:rPr>
          <w:rFonts w:asciiTheme="majorHAnsi" w:eastAsia="Times New Roman" w:hAnsiTheme="majorHAnsi" w:cs="Segoe UI"/>
          <w:lang w:val="es-MX" w:eastAsia="es-CO"/>
        </w:rPr>
        <w:t xml:space="preserve"> y</w:t>
      </w:r>
      <w:r w:rsidR="00C7437C" w:rsidRPr="00A73608">
        <w:rPr>
          <w:rFonts w:asciiTheme="majorHAnsi" w:eastAsia="Times New Roman" w:hAnsiTheme="majorHAnsi" w:cs="Segoe UI"/>
          <w:lang w:val="es-MX" w:eastAsia="es-CO"/>
        </w:rPr>
        <w:t xml:space="preserve"> </w:t>
      </w:r>
      <w:r w:rsidR="003C3933" w:rsidRPr="00A73608">
        <w:rPr>
          <w:rFonts w:asciiTheme="majorHAnsi" w:eastAsia="Times New Roman" w:hAnsiTheme="majorHAnsi" w:cs="Segoe UI"/>
          <w:lang w:val="es-MX" w:eastAsia="es-CO"/>
        </w:rPr>
        <w:t>acciones</w:t>
      </w:r>
      <w:r w:rsidR="001F7330">
        <w:rPr>
          <w:rFonts w:asciiTheme="majorHAnsi" w:eastAsia="Times New Roman" w:hAnsiTheme="majorHAnsi" w:cs="Segoe UI"/>
          <w:lang w:val="es-MX" w:eastAsia="es-CO"/>
        </w:rPr>
        <w:t xml:space="preserve"> </w:t>
      </w:r>
      <w:r w:rsidR="008F724F" w:rsidRPr="00A73608">
        <w:rPr>
          <w:rFonts w:asciiTheme="majorHAnsi" w:eastAsia="Times New Roman" w:hAnsiTheme="majorHAnsi" w:cs="Segoe UI"/>
          <w:lang w:val="es-MX" w:eastAsia="es-CO"/>
        </w:rPr>
        <w:t>propuestas para el</w:t>
      </w:r>
      <w:r w:rsidR="003C3933" w:rsidRPr="00A73608">
        <w:rPr>
          <w:rFonts w:asciiTheme="majorHAnsi" w:eastAsia="Times New Roman" w:hAnsiTheme="majorHAnsi" w:cs="Segoe UI"/>
          <w:lang w:val="es-MX" w:eastAsia="es-CO"/>
        </w:rPr>
        <w:t xml:space="preserve"> plan</w:t>
      </w:r>
      <w:r w:rsidR="00764C00" w:rsidRPr="00A73608">
        <w:rPr>
          <w:rFonts w:asciiTheme="majorHAnsi" w:eastAsia="Times New Roman" w:hAnsiTheme="majorHAnsi" w:cs="Segoe UI"/>
          <w:lang w:val="es-MX" w:eastAsia="es-CO"/>
        </w:rPr>
        <w:t>:</w:t>
      </w:r>
    </w:p>
    <w:p w14:paraId="1E7EF7A6" w14:textId="07EF4B90" w:rsidR="00986E36" w:rsidRDefault="00986E36" w:rsidP="00986E36">
      <w:pPr>
        <w:jc w:val="center"/>
        <w:rPr>
          <w:rFonts w:asciiTheme="majorHAnsi" w:eastAsia="Times New Roman" w:hAnsiTheme="majorHAnsi" w:cs="Segoe UI"/>
          <w:lang w:val="es-MX" w:eastAsia="es-CO"/>
        </w:rPr>
      </w:pPr>
      <w:r w:rsidRPr="00A73608">
        <w:rPr>
          <w:rFonts w:asciiTheme="majorHAnsi" w:eastAsia="Times New Roman" w:hAnsiTheme="majorHAnsi" w:cs="Segoe UI"/>
          <w:b/>
          <w:lang w:val="es-MX" w:eastAsia="es-CO"/>
        </w:rPr>
        <w:t>Tabla 1.</w:t>
      </w:r>
      <w:r w:rsidRPr="00A73608">
        <w:rPr>
          <w:rFonts w:asciiTheme="majorHAnsi" w:eastAsia="Times New Roman" w:hAnsiTheme="majorHAnsi" w:cs="Segoe UI"/>
          <w:lang w:val="es-MX" w:eastAsia="es-CO"/>
        </w:rPr>
        <w:t xml:space="preserve"> Estructura del Plan de Asistencia Integral Técnica</w:t>
      </w:r>
    </w:p>
    <w:tbl>
      <w:tblPr>
        <w:tblW w:w="82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5"/>
        <w:gridCol w:w="6662"/>
      </w:tblGrid>
      <w:tr w:rsidR="00986E36" w:rsidRPr="00986E36" w14:paraId="3C1A819B" w14:textId="77777777" w:rsidTr="00986E36">
        <w:trPr>
          <w:trHeight w:val="20"/>
        </w:trPr>
        <w:tc>
          <w:tcPr>
            <w:tcW w:w="1565" w:type="dxa"/>
            <w:shd w:val="clear" w:color="auto" w:fill="BDD6EE" w:themeFill="accent5" w:themeFillTint="66"/>
            <w:vAlign w:val="center"/>
          </w:tcPr>
          <w:p w14:paraId="46D3110C" w14:textId="543D6473" w:rsidR="00986E36" w:rsidRPr="00986E36" w:rsidRDefault="00986E36" w:rsidP="00986E36">
            <w:pPr>
              <w:spacing w:after="0" w:line="240" w:lineRule="auto"/>
              <w:jc w:val="center"/>
              <w:rPr>
                <w:rFonts w:asciiTheme="majorHAnsi" w:eastAsia="Times New Roman" w:hAnsiTheme="majorHAnsi" w:cs="Times New Roman"/>
                <w:b/>
                <w:color w:val="000000"/>
                <w:sz w:val="18"/>
                <w:szCs w:val="18"/>
                <w:lang w:eastAsia="es-CO"/>
              </w:rPr>
            </w:pPr>
            <w:r w:rsidRPr="00986E36">
              <w:rPr>
                <w:rFonts w:asciiTheme="majorHAnsi" w:eastAsia="Times New Roman" w:hAnsiTheme="majorHAnsi" w:cs="Times New Roman"/>
                <w:b/>
                <w:color w:val="000000"/>
                <w:sz w:val="18"/>
                <w:szCs w:val="18"/>
                <w:lang w:eastAsia="es-CO"/>
              </w:rPr>
              <w:t>Estrategias</w:t>
            </w:r>
          </w:p>
        </w:tc>
        <w:tc>
          <w:tcPr>
            <w:tcW w:w="6662" w:type="dxa"/>
            <w:shd w:val="clear" w:color="auto" w:fill="BDD6EE" w:themeFill="accent5" w:themeFillTint="66"/>
            <w:vAlign w:val="center"/>
          </w:tcPr>
          <w:p w14:paraId="2A41DF26" w14:textId="5243698A" w:rsidR="00986E36" w:rsidRPr="00986E36" w:rsidRDefault="00986E36" w:rsidP="00986E36">
            <w:pPr>
              <w:spacing w:after="0" w:line="240" w:lineRule="auto"/>
              <w:jc w:val="center"/>
              <w:rPr>
                <w:rFonts w:asciiTheme="majorHAnsi" w:eastAsia="Times New Roman" w:hAnsiTheme="majorHAnsi" w:cs="Times New Roman"/>
                <w:b/>
                <w:color w:val="000000"/>
                <w:sz w:val="18"/>
                <w:szCs w:val="18"/>
                <w:lang w:eastAsia="es-CO"/>
              </w:rPr>
            </w:pPr>
            <w:r w:rsidRPr="00986E36">
              <w:rPr>
                <w:rFonts w:asciiTheme="majorHAnsi" w:eastAsia="Times New Roman" w:hAnsiTheme="majorHAnsi" w:cs="Times New Roman"/>
                <w:b/>
                <w:color w:val="000000"/>
                <w:sz w:val="18"/>
                <w:szCs w:val="18"/>
                <w:lang w:eastAsia="es-CO"/>
              </w:rPr>
              <w:t>Acciones</w:t>
            </w:r>
          </w:p>
        </w:tc>
      </w:tr>
      <w:tr w:rsidR="00986E36" w:rsidRPr="00986E36" w14:paraId="6A378E27" w14:textId="77777777" w:rsidTr="00986E36">
        <w:trPr>
          <w:trHeight w:val="20"/>
        </w:trPr>
        <w:tc>
          <w:tcPr>
            <w:tcW w:w="1565" w:type="dxa"/>
            <w:vMerge w:val="restart"/>
            <w:shd w:val="clear" w:color="auto" w:fill="auto"/>
            <w:vAlign w:val="center"/>
            <w:hideMark/>
          </w:tcPr>
          <w:p w14:paraId="3974283D" w14:textId="77777777" w:rsidR="00986E36" w:rsidRPr="00986E36" w:rsidRDefault="00986E36" w:rsidP="00986E36">
            <w:pPr>
              <w:spacing w:after="0" w:line="240" w:lineRule="auto"/>
              <w:jc w:val="center"/>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1. Alistamiento institucional</w:t>
            </w:r>
          </w:p>
        </w:tc>
        <w:tc>
          <w:tcPr>
            <w:tcW w:w="6662" w:type="dxa"/>
            <w:shd w:val="clear" w:color="auto" w:fill="auto"/>
            <w:vAlign w:val="center"/>
            <w:hideMark/>
          </w:tcPr>
          <w:p w14:paraId="38387D9C"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1.1 Expedición el marco regulatorio</w:t>
            </w:r>
          </w:p>
        </w:tc>
      </w:tr>
      <w:tr w:rsidR="00986E36" w:rsidRPr="00986E36" w14:paraId="1E057B5F" w14:textId="77777777" w:rsidTr="00986E36">
        <w:trPr>
          <w:trHeight w:val="20"/>
        </w:trPr>
        <w:tc>
          <w:tcPr>
            <w:tcW w:w="1565" w:type="dxa"/>
            <w:vMerge/>
            <w:vAlign w:val="center"/>
            <w:hideMark/>
          </w:tcPr>
          <w:p w14:paraId="70556F1E"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p>
        </w:tc>
        <w:tc>
          <w:tcPr>
            <w:tcW w:w="6662" w:type="dxa"/>
            <w:shd w:val="clear" w:color="auto" w:fill="auto"/>
            <w:vAlign w:val="center"/>
            <w:hideMark/>
          </w:tcPr>
          <w:p w14:paraId="1894C2E5"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1.2 Acompañamiento técnico para la formulación de los PDEA</w:t>
            </w:r>
          </w:p>
        </w:tc>
      </w:tr>
      <w:tr w:rsidR="00986E36" w:rsidRPr="00986E36" w14:paraId="11118405" w14:textId="77777777" w:rsidTr="00986E36">
        <w:trPr>
          <w:trHeight w:val="20"/>
        </w:trPr>
        <w:tc>
          <w:tcPr>
            <w:tcW w:w="1565" w:type="dxa"/>
            <w:vMerge/>
            <w:vAlign w:val="center"/>
            <w:hideMark/>
          </w:tcPr>
          <w:p w14:paraId="535ABD7B"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p>
        </w:tc>
        <w:tc>
          <w:tcPr>
            <w:tcW w:w="6662" w:type="dxa"/>
            <w:shd w:val="clear" w:color="auto" w:fill="auto"/>
            <w:vAlign w:val="center"/>
            <w:hideMark/>
          </w:tcPr>
          <w:p w14:paraId="5B240CF2"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1.3 Formulación de los PDEA</w:t>
            </w:r>
          </w:p>
        </w:tc>
      </w:tr>
      <w:tr w:rsidR="00986E36" w:rsidRPr="00986E36" w14:paraId="7C8D5025" w14:textId="77777777" w:rsidTr="00986E36">
        <w:trPr>
          <w:trHeight w:val="20"/>
        </w:trPr>
        <w:tc>
          <w:tcPr>
            <w:tcW w:w="1565" w:type="dxa"/>
            <w:vMerge/>
            <w:vAlign w:val="center"/>
            <w:hideMark/>
          </w:tcPr>
          <w:p w14:paraId="68028111"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p>
        </w:tc>
        <w:tc>
          <w:tcPr>
            <w:tcW w:w="6662" w:type="dxa"/>
            <w:shd w:val="clear" w:color="auto" w:fill="auto"/>
            <w:vAlign w:val="center"/>
            <w:hideMark/>
          </w:tcPr>
          <w:p w14:paraId="431E4D6E"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1.4 Coordinación del soporte al Subsistema Nacional de Extensión Agropecuaria</w:t>
            </w:r>
          </w:p>
        </w:tc>
      </w:tr>
      <w:tr w:rsidR="00986E36" w:rsidRPr="00986E36" w14:paraId="74D49140" w14:textId="77777777" w:rsidTr="00986E36">
        <w:trPr>
          <w:trHeight w:val="20"/>
        </w:trPr>
        <w:tc>
          <w:tcPr>
            <w:tcW w:w="1565" w:type="dxa"/>
            <w:vMerge/>
            <w:vAlign w:val="center"/>
            <w:hideMark/>
          </w:tcPr>
          <w:p w14:paraId="54489DD1"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p>
        </w:tc>
        <w:tc>
          <w:tcPr>
            <w:tcW w:w="6662" w:type="dxa"/>
            <w:shd w:val="clear" w:color="auto" w:fill="auto"/>
            <w:vAlign w:val="center"/>
            <w:hideMark/>
          </w:tcPr>
          <w:p w14:paraId="00DB36DE"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1.5 Habilitación a las  Entidades Prestadoras del Servicio de Extensión Agropecuaria –EPSEA</w:t>
            </w:r>
          </w:p>
        </w:tc>
      </w:tr>
      <w:tr w:rsidR="00986E36" w:rsidRPr="00986E36" w14:paraId="1B5A5901" w14:textId="77777777" w:rsidTr="00986E36">
        <w:trPr>
          <w:trHeight w:val="20"/>
        </w:trPr>
        <w:tc>
          <w:tcPr>
            <w:tcW w:w="1565" w:type="dxa"/>
            <w:vMerge w:val="restart"/>
            <w:shd w:val="clear" w:color="auto" w:fill="auto"/>
            <w:vAlign w:val="center"/>
            <w:hideMark/>
          </w:tcPr>
          <w:p w14:paraId="19D543B5" w14:textId="77777777" w:rsidR="00986E36" w:rsidRPr="00986E36" w:rsidRDefault="00986E36" w:rsidP="00986E36">
            <w:pPr>
              <w:spacing w:after="0" w:line="240" w:lineRule="auto"/>
              <w:jc w:val="center"/>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2. Prestación del servicio de extensión agropecuaria</w:t>
            </w:r>
          </w:p>
        </w:tc>
        <w:tc>
          <w:tcPr>
            <w:tcW w:w="6662" w:type="dxa"/>
            <w:shd w:val="clear" w:color="auto" w:fill="auto"/>
            <w:vAlign w:val="center"/>
            <w:hideMark/>
          </w:tcPr>
          <w:p w14:paraId="259334B9"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2.1 Registro y clasificación de usuarios de extensión agropecuaria</w:t>
            </w:r>
          </w:p>
        </w:tc>
      </w:tr>
      <w:tr w:rsidR="00986E36" w:rsidRPr="00986E36" w14:paraId="5171F36D" w14:textId="77777777" w:rsidTr="00986E36">
        <w:trPr>
          <w:trHeight w:val="20"/>
        </w:trPr>
        <w:tc>
          <w:tcPr>
            <w:tcW w:w="1565" w:type="dxa"/>
            <w:vMerge/>
            <w:vAlign w:val="center"/>
            <w:hideMark/>
          </w:tcPr>
          <w:p w14:paraId="4DA3B9A1"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p>
        </w:tc>
        <w:tc>
          <w:tcPr>
            <w:tcW w:w="6662" w:type="dxa"/>
            <w:shd w:val="clear" w:color="auto" w:fill="auto"/>
            <w:vAlign w:val="center"/>
            <w:hideMark/>
          </w:tcPr>
          <w:p w14:paraId="1D1533D3" w14:textId="64E4B385"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2.2 Prestación del servicio de extensión agropecuaria</w:t>
            </w:r>
          </w:p>
        </w:tc>
      </w:tr>
      <w:tr w:rsidR="00986E36" w:rsidRPr="00986E36" w14:paraId="15FCE22C" w14:textId="77777777" w:rsidTr="00986E36">
        <w:trPr>
          <w:trHeight w:val="20"/>
        </w:trPr>
        <w:tc>
          <w:tcPr>
            <w:tcW w:w="1565" w:type="dxa"/>
            <w:vMerge/>
            <w:vAlign w:val="center"/>
          </w:tcPr>
          <w:p w14:paraId="0E2375E7" w14:textId="7777777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p>
        </w:tc>
        <w:tc>
          <w:tcPr>
            <w:tcW w:w="6662" w:type="dxa"/>
            <w:shd w:val="clear" w:color="auto" w:fill="auto"/>
            <w:vAlign w:val="center"/>
          </w:tcPr>
          <w:p w14:paraId="016EE2BB" w14:textId="74A4BBF7" w:rsidR="00986E36" w:rsidRPr="00986E36" w:rsidRDefault="00986E36" w:rsidP="00986E36">
            <w:pPr>
              <w:spacing w:after="0" w:line="240" w:lineRule="auto"/>
              <w:rPr>
                <w:rFonts w:asciiTheme="majorHAnsi" w:eastAsia="Times New Roman" w:hAnsiTheme="majorHAnsi" w:cs="Times New Roman"/>
                <w:color w:val="000000"/>
                <w:sz w:val="18"/>
                <w:szCs w:val="18"/>
                <w:lang w:eastAsia="es-CO"/>
              </w:rPr>
            </w:pPr>
            <w:r w:rsidRPr="00986E36">
              <w:rPr>
                <w:rFonts w:asciiTheme="majorHAnsi" w:eastAsia="Times New Roman" w:hAnsiTheme="majorHAnsi" w:cs="Times New Roman"/>
                <w:color w:val="000000"/>
                <w:sz w:val="18"/>
                <w:szCs w:val="18"/>
                <w:lang w:eastAsia="es-CO"/>
              </w:rPr>
              <w:t>2.3 Evaluación y seguimiento al servicio de extensión agropecuaria</w:t>
            </w:r>
          </w:p>
        </w:tc>
      </w:tr>
    </w:tbl>
    <w:p w14:paraId="4B936B36" w14:textId="77777777" w:rsidR="00986E36" w:rsidRDefault="00986E36" w:rsidP="009528AB">
      <w:pPr>
        <w:jc w:val="both"/>
        <w:rPr>
          <w:rFonts w:asciiTheme="majorHAnsi" w:eastAsia="Times New Roman" w:hAnsiTheme="majorHAnsi" w:cs="Segoe UI"/>
          <w:lang w:val="es-MX" w:eastAsia="es-CO"/>
        </w:rPr>
      </w:pPr>
    </w:p>
    <w:p w14:paraId="73EB4A57" w14:textId="77777777" w:rsidR="00986E36" w:rsidRPr="00A73608" w:rsidRDefault="00986E36" w:rsidP="00986E36">
      <w:pPr>
        <w:spacing w:after="0" w:line="240" w:lineRule="auto"/>
        <w:jc w:val="both"/>
        <w:rPr>
          <w:rFonts w:asciiTheme="majorHAnsi" w:eastAsia="Times New Roman" w:hAnsiTheme="majorHAnsi" w:cs="Segoe UI"/>
          <w:lang w:val="es-MX" w:eastAsia="es-CO"/>
        </w:rPr>
      </w:pPr>
    </w:p>
    <w:p w14:paraId="6DECCC09" w14:textId="3049BD6A" w:rsidR="00C54FA7" w:rsidRPr="00A73608" w:rsidRDefault="00A23C60" w:rsidP="00EA162D">
      <w:pPr>
        <w:pStyle w:val="Ttulo1"/>
        <w:numPr>
          <w:ilvl w:val="0"/>
          <w:numId w:val="14"/>
        </w:numPr>
        <w:spacing w:before="0" w:line="240" w:lineRule="auto"/>
      </w:pPr>
      <w:bookmarkStart w:id="1" w:name="_Toc4680856"/>
      <w:r w:rsidRPr="00A73608">
        <w:t>Introducción</w:t>
      </w:r>
      <w:bookmarkEnd w:id="1"/>
    </w:p>
    <w:p w14:paraId="305C66F0" w14:textId="77777777" w:rsidR="00F52125" w:rsidRPr="00A73608" w:rsidRDefault="00F52125">
      <w:pPr>
        <w:pStyle w:val="Sinespaciado"/>
        <w:jc w:val="both"/>
        <w:rPr>
          <w:rFonts w:asciiTheme="majorHAnsi" w:hAnsiTheme="majorHAnsi"/>
          <w:i/>
          <w:sz w:val="20"/>
        </w:rPr>
      </w:pPr>
    </w:p>
    <w:p w14:paraId="63E5CDCB" w14:textId="77777777" w:rsidR="002F3A3A" w:rsidRPr="00A73608" w:rsidRDefault="002F3A3A" w:rsidP="00BF7E92">
      <w:pPr>
        <w:pStyle w:val="Textoindependiente"/>
        <w:spacing w:after="200"/>
        <w:ind w:right="49"/>
        <w:jc w:val="both"/>
        <w:rPr>
          <w:rFonts w:asciiTheme="majorHAnsi" w:hAnsiTheme="majorHAnsi" w:cs="Calibri"/>
          <w:lang w:val="es-CO"/>
        </w:rPr>
      </w:pPr>
      <w:r w:rsidRPr="00A73608">
        <w:rPr>
          <w:rFonts w:asciiTheme="majorHAnsi" w:hAnsiTheme="majorHAnsi" w:cs="Calibri"/>
          <w:lang w:val="es-CO"/>
        </w:rPr>
        <w:t>Desde el punto de vista de la política pública, en los últimos 50 años la Asistencia Técnica Agropecuaria (ATA) en Colombia han estado incluidos en la agenda gubernamental y han</w:t>
      </w:r>
      <w:r w:rsidRPr="00A73608">
        <w:rPr>
          <w:rFonts w:asciiTheme="majorHAnsi" w:hAnsiTheme="majorHAnsi" w:cs="Calibri"/>
          <w:spacing w:val="-15"/>
          <w:lang w:val="es-CO"/>
        </w:rPr>
        <w:t xml:space="preserve"> </w:t>
      </w:r>
      <w:r w:rsidRPr="00A73608">
        <w:rPr>
          <w:rFonts w:asciiTheme="majorHAnsi" w:hAnsiTheme="majorHAnsi" w:cs="Calibri"/>
          <w:lang w:val="es-CO"/>
        </w:rPr>
        <w:t>sido</w:t>
      </w:r>
      <w:r w:rsidRPr="00A73608">
        <w:rPr>
          <w:rFonts w:asciiTheme="majorHAnsi" w:hAnsiTheme="majorHAnsi" w:cs="Calibri"/>
          <w:spacing w:val="-17"/>
          <w:lang w:val="es-CO"/>
        </w:rPr>
        <w:t xml:space="preserve"> </w:t>
      </w:r>
      <w:r w:rsidRPr="00A73608">
        <w:rPr>
          <w:rFonts w:asciiTheme="majorHAnsi" w:hAnsiTheme="majorHAnsi" w:cs="Calibri"/>
          <w:lang w:val="es-CO"/>
        </w:rPr>
        <w:t>promovidos</w:t>
      </w:r>
      <w:r w:rsidRPr="00A73608">
        <w:rPr>
          <w:rFonts w:asciiTheme="majorHAnsi" w:hAnsiTheme="majorHAnsi" w:cs="Calibri"/>
          <w:spacing w:val="-14"/>
          <w:lang w:val="es-CO"/>
        </w:rPr>
        <w:t xml:space="preserve"> </w:t>
      </w:r>
      <w:r w:rsidRPr="00A73608">
        <w:rPr>
          <w:rFonts w:asciiTheme="majorHAnsi" w:hAnsiTheme="majorHAnsi" w:cs="Calibri"/>
          <w:lang w:val="es-CO"/>
        </w:rPr>
        <w:t>mediante</w:t>
      </w:r>
      <w:r w:rsidRPr="00A73608">
        <w:rPr>
          <w:rFonts w:asciiTheme="majorHAnsi" w:hAnsiTheme="majorHAnsi" w:cs="Calibri"/>
          <w:spacing w:val="-14"/>
          <w:lang w:val="es-CO"/>
        </w:rPr>
        <w:t xml:space="preserve"> </w:t>
      </w:r>
      <w:r w:rsidRPr="00A73608">
        <w:rPr>
          <w:rFonts w:asciiTheme="majorHAnsi" w:hAnsiTheme="majorHAnsi" w:cs="Calibri"/>
          <w:lang w:val="es-CO"/>
        </w:rPr>
        <w:t>diferentes</w:t>
      </w:r>
      <w:r w:rsidRPr="00A73608">
        <w:rPr>
          <w:rFonts w:asciiTheme="majorHAnsi" w:hAnsiTheme="majorHAnsi" w:cs="Calibri"/>
          <w:spacing w:val="-14"/>
          <w:lang w:val="es-CO"/>
        </w:rPr>
        <w:t xml:space="preserve"> </w:t>
      </w:r>
      <w:r w:rsidRPr="00A73608">
        <w:rPr>
          <w:rFonts w:asciiTheme="majorHAnsi" w:hAnsiTheme="majorHAnsi" w:cs="Calibri"/>
          <w:lang w:val="es-CO"/>
        </w:rPr>
        <w:t>normas,</w:t>
      </w:r>
      <w:r w:rsidRPr="00A73608">
        <w:rPr>
          <w:rFonts w:asciiTheme="majorHAnsi" w:hAnsiTheme="majorHAnsi" w:cs="Calibri"/>
          <w:spacing w:val="-16"/>
          <w:lang w:val="es-CO"/>
        </w:rPr>
        <w:t xml:space="preserve"> </w:t>
      </w:r>
      <w:r w:rsidRPr="00A73608">
        <w:rPr>
          <w:rFonts w:asciiTheme="majorHAnsi" w:hAnsiTheme="majorHAnsi" w:cs="Calibri"/>
          <w:lang w:val="es-CO"/>
        </w:rPr>
        <w:t>políticas,</w:t>
      </w:r>
      <w:r w:rsidRPr="00A73608">
        <w:rPr>
          <w:rFonts w:asciiTheme="majorHAnsi" w:hAnsiTheme="majorHAnsi" w:cs="Calibri"/>
          <w:spacing w:val="-16"/>
          <w:lang w:val="es-CO"/>
        </w:rPr>
        <w:t xml:space="preserve"> </w:t>
      </w:r>
      <w:r w:rsidRPr="00A73608">
        <w:rPr>
          <w:rFonts w:asciiTheme="majorHAnsi" w:hAnsiTheme="majorHAnsi" w:cs="Calibri"/>
          <w:lang w:val="es-CO"/>
        </w:rPr>
        <w:t>programas</w:t>
      </w:r>
      <w:r w:rsidRPr="00A73608">
        <w:rPr>
          <w:rFonts w:asciiTheme="majorHAnsi" w:hAnsiTheme="majorHAnsi" w:cs="Calibri"/>
          <w:spacing w:val="-14"/>
          <w:lang w:val="es-CO"/>
        </w:rPr>
        <w:t xml:space="preserve"> </w:t>
      </w:r>
      <w:r w:rsidRPr="00A73608">
        <w:rPr>
          <w:rFonts w:asciiTheme="majorHAnsi" w:hAnsiTheme="majorHAnsi" w:cs="Calibri"/>
          <w:lang w:val="es-CO"/>
        </w:rPr>
        <w:t>y</w:t>
      </w:r>
      <w:r w:rsidRPr="00A73608">
        <w:rPr>
          <w:rFonts w:asciiTheme="majorHAnsi" w:hAnsiTheme="majorHAnsi" w:cs="Calibri"/>
          <w:spacing w:val="-15"/>
          <w:lang w:val="es-CO"/>
        </w:rPr>
        <w:t xml:space="preserve"> </w:t>
      </w:r>
      <w:r w:rsidRPr="00A73608">
        <w:rPr>
          <w:rFonts w:asciiTheme="majorHAnsi" w:hAnsiTheme="majorHAnsi" w:cs="Calibri"/>
          <w:lang w:val="es-CO"/>
        </w:rPr>
        <w:t>proyectos. Estos en su mayoría ha sido coordinados por el Ministerio de Agricultura y Desarrollo Rural (MADR) e implementados y ejecutados por entidades del sector agropecuario tanto de orden nacional como de orden regional o territorial por intermedio de las Unidades Municipales de Asistencia Técnica Agropecuaria (UMATA), los Centros Provinciales de Gestión Agroempresarial (CPGA) y por las recientemente creadas Empresas Prestadoras de Servicios Agropecuarios</w:t>
      </w:r>
      <w:r w:rsidRPr="00A73608">
        <w:rPr>
          <w:rFonts w:asciiTheme="majorHAnsi" w:hAnsiTheme="majorHAnsi" w:cs="Calibri"/>
          <w:spacing w:val="-13"/>
          <w:lang w:val="es-CO"/>
        </w:rPr>
        <w:t xml:space="preserve"> (</w:t>
      </w:r>
      <w:r w:rsidRPr="00A73608">
        <w:rPr>
          <w:rFonts w:asciiTheme="majorHAnsi" w:hAnsiTheme="majorHAnsi" w:cs="Calibri"/>
          <w:lang w:val="es-CO"/>
        </w:rPr>
        <w:t>Epsagro).</w:t>
      </w:r>
    </w:p>
    <w:p w14:paraId="0214BEF7" w14:textId="7BE318CF" w:rsidR="009B1DE6" w:rsidRPr="00A73608" w:rsidRDefault="009B1DE6" w:rsidP="00BF7E92">
      <w:pPr>
        <w:autoSpaceDE w:val="0"/>
        <w:autoSpaceDN w:val="0"/>
        <w:adjustRightInd w:val="0"/>
        <w:spacing w:after="200" w:line="240" w:lineRule="auto"/>
        <w:ind w:right="51"/>
        <w:jc w:val="both"/>
        <w:rPr>
          <w:rFonts w:asciiTheme="majorHAnsi" w:hAnsiTheme="majorHAnsi" w:cs="Calibri"/>
        </w:rPr>
      </w:pPr>
      <w:r w:rsidRPr="00A73608">
        <w:rPr>
          <w:rFonts w:asciiTheme="majorHAnsi" w:hAnsiTheme="majorHAnsi" w:cs="Calibri"/>
        </w:rPr>
        <w:t xml:space="preserve">El MADR en el 2012 diseñó y reglamentó varios instrumentos para acceder al servicio de asistencia técnica agropecuaria mediante mecanismos de convocatoria pública que, en principio, permitirían focalizar los recursos limitados e ir aumentando la cobertura progresivamente hasta contar con un servicio universal. Dentro de los instrumentos desarrollados se encuentran: </w:t>
      </w:r>
    </w:p>
    <w:p w14:paraId="70EEB184" w14:textId="0FA90E17" w:rsidR="009B1DE6" w:rsidRPr="00A73608" w:rsidRDefault="009B1DE6" w:rsidP="00BF7E92">
      <w:pPr>
        <w:pStyle w:val="Prrafodelista"/>
        <w:numPr>
          <w:ilvl w:val="0"/>
          <w:numId w:val="1"/>
        </w:numPr>
        <w:autoSpaceDE w:val="0"/>
        <w:autoSpaceDN w:val="0"/>
        <w:adjustRightInd w:val="0"/>
        <w:spacing w:after="200" w:line="240" w:lineRule="auto"/>
        <w:ind w:left="360" w:right="51"/>
        <w:jc w:val="both"/>
        <w:rPr>
          <w:rFonts w:asciiTheme="majorHAnsi" w:hAnsiTheme="majorHAnsi" w:cs="Calibri"/>
        </w:rPr>
      </w:pPr>
      <w:r w:rsidRPr="00A73608">
        <w:rPr>
          <w:rFonts w:asciiTheme="majorHAnsi" w:hAnsiTheme="majorHAnsi" w:cs="Calibri"/>
        </w:rPr>
        <w:t>A</w:t>
      </w:r>
      <w:r w:rsidRPr="00A73608">
        <w:rPr>
          <w:rFonts w:asciiTheme="majorHAnsi" w:hAnsiTheme="majorHAnsi" w:cs="Calibri"/>
          <w:b/>
          <w:bCs/>
        </w:rPr>
        <w:t xml:space="preserve">sistencia Técnica Directa Rural. </w:t>
      </w:r>
      <w:r w:rsidRPr="00A73608">
        <w:rPr>
          <w:rFonts w:asciiTheme="majorHAnsi" w:hAnsiTheme="majorHAnsi" w:cs="Calibri"/>
        </w:rPr>
        <w:t xml:space="preserve">El objetivo fundamental de este instrumento ha sido contribuir al desarrollo rural y al mejoramiento de la competitividad y productividad agropecuaria de todos los productores del campo. Para el diseño y puesta en marcha de este instrumento, se dio cumplimiento a las disposiciones consagradas en la Ley 607 de 2000 y sus decretos reglamentarios. </w:t>
      </w:r>
    </w:p>
    <w:p w14:paraId="101D001B" w14:textId="77777777" w:rsidR="009B1DE6" w:rsidRPr="00A73608" w:rsidRDefault="009B1DE6" w:rsidP="00BF7E92">
      <w:pPr>
        <w:pStyle w:val="Prrafodelista"/>
        <w:autoSpaceDE w:val="0"/>
        <w:autoSpaceDN w:val="0"/>
        <w:adjustRightInd w:val="0"/>
        <w:spacing w:after="200" w:line="240" w:lineRule="auto"/>
        <w:ind w:left="360" w:right="51"/>
        <w:jc w:val="both"/>
        <w:rPr>
          <w:rFonts w:asciiTheme="majorHAnsi" w:hAnsiTheme="majorHAnsi" w:cs="Calibri"/>
        </w:rPr>
      </w:pPr>
    </w:p>
    <w:p w14:paraId="4399CC9F" w14:textId="638E3456" w:rsidR="001B0AF4" w:rsidRPr="00A73608" w:rsidRDefault="009B1DE6" w:rsidP="00BF7E92">
      <w:pPr>
        <w:pStyle w:val="Prrafodelista"/>
        <w:numPr>
          <w:ilvl w:val="0"/>
          <w:numId w:val="1"/>
        </w:numPr>
        <w:autoSpaceDE w:val="0"/>
        <w:autoSpaceDN w:val="0"/>
        <w:adjustRightInd w:val="0"/>
        <w:spacing w:after="200" w:line="240" w:lineRule="auto"/>
        <w:ind w:left="360" w:right="51"/>
        <w:jc w:val="both"/>
        <w:rPr>
          <w:rFonts w:asciiTheme="majorHAnsi" w:hAnsiTheme="majorHAnsi" w:cs="Calibri"/>
        </w:rPr>
      </w:pPr>
      <w:r w:rsidRPr="00A73608">
        <w:rPr>
          <w:rFonts w:asciiTheme="majorHAnsi" w:hAnsiTheme="majorHAnsi" w:cs="Calibri"/>
          <w:b/>
          <w:bCs/>
        </w:rPr>
        <w:t>Incentivo a la Asistencia Técnica Gremial</w:t>
      </w:r>
      <w:r w:rsidRPr="00A73608">
        <w:rPr>
          <w:rFonts w:asciiTheme="majorHAnsi" w:hAnsiTheme="majorHAnsi" w:cs="Calibri"/>
        </w:rPr>
        <w:t xml:space="preserve">. El incentivo a la Asistencia Técnica Gremial ha buscado promover la inversión de recursos parafiscales en asistencia técnica. Este incentivo cubre hasta el 50% de los costos del servicio de la prestación del servicio de asistencia técnica y la capacitación y actualización de asistentes técnicos. El instrumento ha estado dirigido a pequeños y medianos productores agrícolas, pecuarios, acuícolas y forestales de que trata el artículo 3 de la Ley 607 de 2000 y las demás normas que la reglamenten, modifiquen o adicionen y que se encuentren inscritos en el Registro Único de Usuarios de Asistencia Técnica Directa Rural – RUAT. </w:t>
      </w:r>
    </w:p>
    <w:p w14:paraId="7E4BCE2B" w14:textId="77777777" w:rsidR="001B0AF4" w:rsidRPr="00A73608" w:rsidRDefault="001B0AF4" w:rsidP="00BF7E92">
      <w:pPr>
        <w:pStyle w:val="Prrafodelista"/>
        <w:spacing w:after="200"/>
        <w:ind w:left="360"/>
        <w:rPr>
          <w:rFonts w:asciiTheme="majorHAnsi" w:eastAsia="Calibri" w:hAnsiTheme="majorHAnsi" w:cs="Calibri"/>
          <w:b/>
          <w:bCs/>
        </w:rPr>
      </w:pPr>
    </w:p>
    <w:p w14:paraId="3D3142BB" w14:textId="52951677" w:rsidR="002F3A3A" w:rsidRPr="00804851" w:rsidRDefault="009B1DE6" w:rsidP="00BF7E92">
      <w:pPr>
        <w:pStyle w:val="Prrafodelista"/>
        <w:numPr>
          <w:ilvl w:val="0"/>
          <w:numId w:val="1"/>
        </w:numPr>
        <w:autoSpaceDE w:val="0"/>
        <w:autoSpaceDN w:val="0"/>
        <w:adjustRightInd w:val="0"/>
        <w:spacing w:after="200" w:line="240" w:lineRule="auto"/>
        <w:ind w:left="360" w:right="51"/>
        <w:jc w:val="both"/>
        <w:rPr>
          <w:rFonts w:asciiTheme="majorHAnsi" w:hAnsiTheme="majorHAnsi" w:cs="Calibri"/>
        </w:rPr>
      </w:pPr>
      <w:r w:rsidRPr="00A73608">
        <w:rPr>
          <w:rFonts w:asciiTheme="majorHAnsi" w:eastAsia="Calibri" w:hAnsiTheme="majorHAnsi" w:cs="Calibri"/>
          <w:b/>
          <w:bCs/>
        </w:rPr>
        <w:t xml:space="preserve">Incentivo a la Asistencia Técnica Especial. </w:t>
      </w:r>
      <w:r w:rsidRPr="00A73608">
        <w:rPr>
          <w:rFonts w:asciiTheme="majorHAnsi" w:eastAsia="Calibri" w:hAnsiTheme="majorHAnsi" w:cs="Calibri"/>
        </w:rPr>
        <w:t>S</w:t>
      </w:r>
      <w:r w:rsidR="001B0AF4" w:rsidRPr="00A73608">
        <w:rPr>
          <w:rFonts w:asciiTheme="majorHAnsi" w:eastAsia="Calibri" w:hAnsiTheme="majorHAnsi" w:cs="Calibri"/>
        </w:rPr>
        <w:t xml:space="preserve">u objetivo es </w:t>
      </w:r>
      <w:r w:rsidRPr="00A73608">
        <w:rPr>
          <w:rFonts w:asciiTheme="majorHAnsi" w:eastAsia="Calibri" w:hAnsiTheme="majorHAnsi" w:cs="Calibri"/>
        </w:rPr>
        <w:t xml:space="preserve">fortalecer las capacidades de los pequeños productores en condiciones de vulnerabilidad </w:t>
      </w:r>
      <w:r w:rsidR="007E11D0">
        <w:rPr>
          <w:rFonts w:asciiTheme="majorHAnsi" w:eastAsia="Calibri" w:hAnsiTheme="majorHAnsi" w:cs="Calibri"/>
        </w:rPr>
        <w:t>con</w:t>
      </w:r>
      <w:r w:rsidRPr="00A73608">
        <w:rPr>
          <w:rFonts w:asciiTheme="majorHAnsi" w:eastAsia="Calibri" w:hAnsiTheme="majorHAnsi" w:cs="Calibri"/>
        </w:rPr>
        <w:t xml:space="preserve"> miras </w:t>
      </w:r>
      <w:r w:rsidR="007E11D0">
        <w:rPr>
          <w:rFonts w:asciiTheme="majorHAnsi" w:eastAsia="Calibri" w:hAnsiTheme="majorHAnsi" w:cs="Calibri"/>
        </w:rPr>
        <w:t xml:space="preserve">a </w:t>
      </w:r>
      <w:r w:rsidRPr="00A73608">
        <w:rPr>
          <w:rFonts w:asciiTheme="majorHAnsi" w:eastAsia="Calibri" w:hAnsiTheme="majorHAnsi" w:cs="Calibri"/>
        </w:rPr>
        <w:t xml:space="preserve">que puedan acceder a los diferentes apoyos de la política agropecuaria y de desarrollo rural para mejorar su competitividad, </w:t>
      </w:r>
      <w:r w:rsidRPr="00804851">
        <w:rPr>
          <w:rFonts w:asciiTheme="majorHAnsi" w:eastAsia="Calibri" w:hAnsiTheme="majorHAnsi" w:cs="Calibri"/>
        </w:rPr>
        <w:t xml:space="preserve">ingresos y calidad de vida mediante un acompañamiento integral. Ha consistido en la prestación del servicio de asistencia técnica a pequeños productores agropecuarios </w:t>
      </w:r>
      <w:r w:rsidR="001714DA" w:rsidRPr="00804851">
        <w:rPr>
          <w:rFonts w:asciiTheme="majorHAnsi" w:eastAsia="Calibri" w:hAnsiTheme="majorHAnsi" w:cs="Calibri"/>
        </w:rPr>
        <w:t xml:space="preserve">y a la mujer rural </w:t>
      </w:r>
      <w:r w:rsidRPr="00804851">
        <w:rPr>
          <w:rFonts w:asciiTheme="majorHAnsi" w:eastAsia="Calibri" w:hAnsiTheme="majorHAnsi" w:cs="Calibri"/>
        </w:rPr>
        <w:t>que se encuentren en zonas de consolidación territorial o de desarrollo rural para contribuir a la inclusión de sectores especialmente vulnerables.</w:t>
      </w:r>
    </w:p>
    <w:p w14:paraId="2E4877D9" w14:textId="7CDF7A5C" w:rsidR="00E453B2" w:rsidRPr="00804851" w:rsidRDefault="001B0AF4" w:rsidP="00BF7E92">
      <w:pPr>
        <w:autoSpaceDE w:val="0"/>
        <w:autoSpaceDN w:val="0"/>
        <w:adjustRightInd w:val="0"/>
        <w:spacing w:after="200" w:line="240" w:lineRule="auto"/>
        <w:ind w:right="51"/>
        <w:jc w:val="both"/>
        <w:rPr>
          <w:rFonts w:asciiTheme="majorHAnsi" w:hAnsiTheme="majorHAnsi" w:cs="Calibri"/>
        </w:rPr>
      </w:pPr>
      <w:r w:rsidRPr="00804851">
        <w:rPr>
          <w:rFonts w:asciiTheme="majorHAnsi" w:hAnsiTheme="majorHAnsi" w:cs="Calibri"/>
        </w:rPr>
        <w:t>Históricamente, e</w:t>
      </w:r>
      <w:r w:rsidR="00B75BA5" w:rsidRPr="00804851">
        <w:rPr>
          <w:rFonts w:asciiTheme="majorHAnsi" w:hAnsiTheme="majorHAnsi" w:cs="Calibri"/>
        </w:rPr>
        <w:t xml:space="preserve">l capital humano es el factor estratégico más importante para lograr el desarrollo de las naciones, que, en conjunto con el desarrollo tecnológico, permitirá satisfacer la demanda de una </w:t>
      </w:r>
      <w:r w:rsidR="00D042CE" w:rsidRPr="00804851">
        <w:rPr>
          <w:rFonts w:asciiTheme="majorHAnsi" w:hAnsiTheme="majorHAnsi" w:cs="Calibri"/>
        </w:rPr>
        <w:t>población</w:t>
      </w:r>
      <w:r w:rsidR="00B75BA5" w:rsidRPr="00804851">
        <w:rPr>
          <w:rFonts w:asciiTheme="majorHAnsi" w:hAnsiTheme="majorHAnsi" w:cs="Calibri"/>
        </w:rPr>
        <w:t xml:space="preserve"> creciente que exige día a día productos de calidad e inocuos </w:t>
      </w:r>
      <w:r w:rsidR="00306C88" w:rsidRPr="00804851">
        <w:rPr>
          <w:rFonts w:asciiTheme="majorHAnsi" w:hAnsiTheme="majorHAnsi" w:cs="Calibri"/>
        </w:rPr>
        <w:t>(Özçatalbaş, 2017).</w:t>
      </w:r>
      <w:r w:rsidR="00145905" w:rsidRPr="00804851">
        <w:rPr>
          <w:rFonts w:asciiTheme="majorHAnsi" w:hAnsiTheme="majorHAnsi" w:cs="Calibri"/>
        </w:rPr>
        <w:t xml:space="preserve"> </w:t>
      </w:r>
      <w:r w:rsidR="00D1621B" w:rsidRPr="00804851">
        <w:rPr>
          <w:rFonts w:asciiTheme="majorHAnsi" w:hAnsiTheme="majorHAnsi" w:cs="Calibri"/>
        </w:rPr>
        <w:t xml:space="preserve">La Reforma Rural Integral propuesta en los Acuerdos de Paz de La Habana (punto 1) </w:t>
      </w:r>
      <w:r w:rsidR="002C73F0" w:rsidRPr="00804851">
        <w:rPr>
          <w:rFonts w:asciiTheme="majorHAnsi" w:hAnsiTheme="majorHAnsi" w:cs="Calibri"/>
        </w:rPr>
        <w:t>reconoce la importancia de la asistencia técnica</w:t>
      </w:r>
      <w:r w:rsidR="00FC6557" w:rsidRPr="00804851">
        <w:rPr>
          <w:rFonts w:asciiTheme="majorHAnsi" w:hAnsiTheme="majorHAnsi" w:cs="Calibri"/>
        </w:rPr>
        <w:t xml:space="preserve"> </w:t>
      </w:r>
      <w:r w:rsidR="001C7FF5" w:rsidRPr="00804851">
        <w:rPr>
          <w:rFonts w:asciiTheme="majorHAnsi" w:hAnsiTheme="majorHAnsi" w:cs="Calibri"/>
        </w:rPr>
        <w:t xml:space="preserve">en el fortalecimiento de capacidades productivas de la economía campesina, familiar y comunitaria, de forma que el desarrollo de sus proyectos productivos </w:t>
      </w:r>
      <w:r w:rsidR="007E11D0">
        <w:rPr>
          <w:rFonts w:asciiTheme="majorHAnsi" w:hAnsiTheme="majorHAnsi" w:cs="Calibri"/>
        </w:rPr>
        <w:t>sea</w:t>
      </w:r>
      <w:r w:rsidR="001C7FF5" w:rsidRPr="00804851">
        <w:rPr>
          <w:rFonts w:asciiTheme="majorHAnsi" w:hAnsiTheme="majorHAnsi" w:cs="Calibri"/>
        </w:rPr>
        <w:t xml:space="preserve"> exitoso y se estimulen procesos de innovación tecnológica. </w:t>
      </w:r>
    </w:p>
    <w:p w14:paraId="2D2A96D3" w14:textId="77777777" w:rsidR="001C688B" w:rsidRPr="00804851" w:rsidRDefault="00DC25D6" w:rsidP="00BF7E92">
      <w:pPr>
        <w:autoSpaceDE w:val="0"/>
        <w:autoSpaceDN w:val="0"/>
        <w:adjustRightInd w:val="0"/>
        <w:spacing w:after="200" w:line="240" w:lineRule="auto"/>
        <w:ind w:right="51"/>
        <w:jc w:val="both"/>
        <w:rPr>
          <w:rFonts w:asciiTheme="majorHAnsi" w:hAnsiTheme="majorHAnsi" w:cs="Calibri"/>
          <w:b/>
          <w:i/>
        </w:rPr>
      </w:pPr>
      <w:r w:rsidRPr="00804851">
        <w:rPr>
          <w:rFonts w:asciiTheme="majorHAnsi" w:hAnsiTheme="majorHAnsi" w:cs="Calibri"/>
        </w:rPr>
        <w:lastRenderedPageBreak/>
        <w:t>Para dar cumplimiento a esta necesidad del sector rural c</w:t>
      </w:r>
      <w:r w:rsidR="001C688B" w:rsidRPr="00804851">
        <w:rPr>
          <w:rFonts w:asciiTheme="majorHAnsi" w:hAnsiTheme="majorHAnsi" w:cs="Calibri"/>
        </w:rPr>
        <w:t xml:space="preserve">olombiano, el Gobierno Nacional avanzó en la expedición del nuevo marco normativo para la prestación del servicio de extensión agropecuaria: </w:t>
      </w:r>
      <w:r w:rsidR="001C688B" w:rsidRPr="00804851">
        <w:rPr>
          <w:rFonts w:asciiTheme="majorHAnsi" w:hAnsiTheme="majorHAnsi" w:cs="Calibri"/>
          <w:b/>
          <w:i/>
        </w:rPr>
        <w:t>Ley 1876 del 29 de</w:t>
      </w:r>
      <w:r w:rsidR="00887727" w:rsidRPr="00804851">
        <w:rPr>
          <w:rFonts w:asciiTheme="majorHAnsi" w:hAnsiTheme="majorHAnsi" w:cs="Calibri"/>
          <w:b/>
          <w:i/>
        </w:rPr>
        <w:t xml:space="preserve"> diciembre de</w:t>
      </w:r>
      <w:r w:rsidR="001C688B" w:rsidRPr="00804851">
        <w:rPr>
          <w:rFonts w:asciiTheme="majorHAnsi" w:hAnsiTheme="majorHAnsi" w:cs="Calibri"/>
          <w:b/>
          <w:i/>
        </w:rPr>
        <w:t xml:space="preserve"> 2017 Por medio de la cual se crea el Sistema Nacional de Innovación Agropecuaria y se dictan otras disposiciones”.</w:t>
      </w:r>
    </w:p>
    <w:p w14:paraId="55E8F212" w14:textId="77777777" w:rsidR="001C688B" w:rsidRPr="00804851" w:rsidRDefault="001C688B" w:rsidP="00BF7E92">
      <w:pPr>
        <w:autoSpaceDE w:val="0"/>
        <w:autoSpaceDN w:val="0"/>
        <w:adjustRightInd w:val="0"/>
        <w:spacing w:after="200" w:line="240" w:lineRule="auto"/>
        <w:ind w:right="51"/>
        <w:jc w:val="both"/>
        <w:rPr>
          <w:rFonts w:asciiTheme="majorHAnsi" w:hAnsiTheme="majorHAnsi" w:cstheme="majorHAnsi"/>
        </w:rPr>
      </w:pPr>
      <w:r w:rsidRPr="00804851">
        <w:rPr>
          <w:rFonts w:asciiTheme="majorHAnsi" w:hAnsiTheme="majorHAnsi" w:cs="Calibri"/>
        </w:rPr>
        <w:t>Esta ley crea y pone en marcha del Sistema Nacional de Innovación Agropecuaria (SNIA), compuesto por sus subsistemas, planes estratégicos, instrumentos de planificación y participación, plataformas de gestión, procedimientos para su implementación, así como mecanismos para su financiación, seguimiento y evaluación. Además</w:t>
      </w:r>
      <w:r w:rsidRPr="00804851">
        <w:rPr>
          <w:rFonts w:asciiTheme="majorHAnsi" w:hAnsiTheme="majorHAnsi" w:cstheme="majorHAnsi"/>
        </w:rPr>
        <w:t xml:space="preserve"> crea nuevas funciones, competencias y mecanismos de articulación de las entidades y organismos de coordinación del orden nacional y territorial que componen el SNIA, y </w:t>
      </w:r>
      <w:r w:rsidRPr="00804851">
        <w:rPr>
          <w:rFonts w:asciiTheme="majorHAnsi" w:hAnsiTheme="majorHAnsi" w:cstheme="majorHAnsi"/>
          <w:b/>
        </w:rPr>
        <w:t>crea el servicio público de extensión agropecuaria</w:t>
      </w:r>
      <w:r w:rsidRPr="00804851">
        <w:rPr>
          <w:rFonts w:asciiTheme="majorHAnsi" w:hAnsiTheme="majorHAnsi" w:cstheme="majorHAnsi"/>
        </w:rPr>
        <w:t xml:space="preserve"> y normas para su prestación. </w:t>
      </w:r>
      <w:r w:rsidR="0047715A" w:rsidRPr="00804851">
        <w:rPr>
          <w:rFonts w:asciiTheme="majorHAnsi" w:hAnsiTheme="majorHAnsi" w:cstheme="majorHAnsi"/>
        </w:rPr>
        <w:t xml:space="preserve">Este plan incluye el proceso de reglamentación de la ley en mención para poner en marcha el SNIA. </w:t>
      </w:r>
    </w:p>
    <w:p w14:paraId="19787D6B" w14:textId="77777777" w:rsidR="004A0108" w:rsidRDefault="0047715A" w:rsidP="00BF7E92">
      <w:pPr>
        <w:autoSpaceDE w:val="0"/>
        <w:autoSpaceDN w:val="0"/>
        <w:adjustRightInd w:val="0"/>
        <w:spacing w:after="200" w:line="240" w:lineRule="auto"/>
        <w:ind w:right="51"/>
        <w:jc w:val="both"/>
        <w:rPr>
          <w:rFonts w:asciiTheme="majorHAnsi" w:hAnsiTheme="majorHAnsi" w:cs="Calibri"/>
        </w:rPr>
      </w:pPr>
      <w:r w:rsidRPr="00804851">
        <w:rPr>
          <w:rFonts w:asciiTheme="majorHAnsi" w:hAnsiTheme="majorHAnsi" w:cs="Calibri"/>
        </w:rPr>
        <w:t xml:space="preserve">En este marco se formula el Plan Nacional </w:t>
      </w:r>
      <w:r w:rsidR="00BF7E92" w:rsidRPr="00804851">
        <w:rPr>
          <w:rFonts w:asciiTheme="majorHAnsi" w:hAnsiTheme="majorHAnsi" w:cs="Calibri"/>
        </w:rPr>
        <w:t>Asistencia Integral Técnica, Tecnológica y de Impulso a la Investigación</w:t>
      </w:r>
      <w:r w:rsidRPr="00804851">
        <w:rPr>
          <w:rFonts w:asciiTheme="majorHAnsi" w:hAnsiTheme="majorHAnsi" w:cs="Calibri"/>
        </w:rPr>
        <w:t xml:space="preserve">, el cual considera los criterios de: </w:t>
      </w:r>
    </w:p>
    <w:p w14:paraId="4D847C76" w14:textId="77777777" w:rsidR="004A0108" w:rsidRDefault="004A0108" w:rsidP="00EA162D">
      <w:pPr>
        <w:pStyle w:val="Prrafodelista"/>
        <w:numPr>
          <w:ilvl w:val="0"/>
          <w:numId w:val="15"/>
        </w:numPr>
        <w:autoSpaceDE w:val="0"/>
        <w:autoSpaceDN w:val="0"/>
        <w:adjustRightInd w:val="0"/>
        <w:spacing w:after="200" w:line="240" w:lineRule="auto"/>
        <w:ind w:right="51"/>
        <w:jc w:val="both"/>
        <w:rPr>
          <w:rFonts w:asciiTheme="majorHAnsi" w:hAnsiTheme="majorHAnsi" w:cs="Calibri"/>
        </w:rPr>
      </w:pPr>
      <w:r>
        <w:rPr>
          <w:rFonts w:asciiTheme="majorHAnsi" w:hAnsiTheme="majorHAnsi" w:cs="Calibri"/>
        </w:rPr>
        <w:t>G</w:t>
      </w:r>
      <w:r w:rsidR="00240CF7" w:rsidRPr="004A0108">
        <w:rPr>
          <w:rFonts w:asciiTheme="majorHAnsi" w:hAnsiTheme="majorHAnsi" w:cs="Calibri"/>
        </w:rPr>
        <w:t xml:space="preserve">arantía de la provisión del servicio de </w:t>
      </w:r>
      <w:r w:rsidR="00F2316D" w:rsidRPr="004A0108">
        <w:rPr>
          <w:rFonts w:asciiTheme="majorHAnsi" w:hAnsiTheme="majorHAnsi"/>
        </w:rPr>
        <w:t>extensión agropecuaria, en especial a la</w:t>
      </w:r>
      <w:r w:rsidR="00240CF7" w:rsidRPr="004A0108">
        <w:rPr>
          <w:rFonts w:asciiTheme="majorHAnsi" w:hAnsiTheme="majorHAnsi" w:cs="Calibri"/>
        </w:rPr>
        <w:t xml:space="preserve"> producción de la economía campesina, familiar y comunitaria,</w:t>
      </w:r>
      <w:r w:rsidR="001714DA" w:rsidRPr="004A0108">
        <w:rPr>
          <w:rFonts w:asciiTheme="majorHAnsi" w:eastAsia="Calibri" w:hAnsiTheme="majorHAnsi" w:cs="Calibri"/>
        </w:rPr>
        <w:t xml:space="preserve"> mujer rural</w:t>
      </w:r>
      <w:r w:rsidR="00240CF7" w:rsidRPr="004A0108">
        <w:rPr>
          <w:rFonts w:asciiTheme="majorHAnsi" w:hAnsiTheme="majorHAnsi" w:cs="Calibri"/>
        </w:rPr>
        <w:t xml:space="preserve"> de manera descentralizada, gratuito, con enfoque territorial</w:t>
      </w:r>
      <w:r w:rsidR="00E936B7" w:rsidRPr="004A0108">
        <w:rPr>
          <w:rFonts w:asciiTheme="majorHAnsi" w:hAnsiTheme="majorHAnsi" w:cs="Calibri"/>
        </w:rPr>
        <w:t>, de género</w:t>
      </w:r>
      <w:r w:rsidR="00240CF7" w:rsidRPr="004A0108">
        <w:rPr>
          <w:rFonts w:asciiTheme="majorHAnsi" w:hAnsiTheme="majorHAnsi" w:cs="Calibri"/>
        </w:rPr>
        <w:t xml:space="preserve"> y diferencial; </w:t>
      </w:r>
    </w:p>
    <w:p w14:paraId="35C700BF" w14:textId="77777777" w:rsidR="004A0108" w:rsidRDefault="004A0108" w:rsidP="00EA162D">
      <w:pPr>
        <w:pStyle w:val="Prrafodelista"/>
        <w:numPr>
          <w:ilvl w:val="0"/>
          <w:numId w:val="15"/>
        </w:numPr>
        <w:autoSpaceDE w:val="0"/>
        <w:autoSpaceDN w:val="0"/>
        <w:adjustRightInd w:val="0"/>
        <w:spacing w:after="200" w:line="240" w:lineRule="auto"/>
        <w:ind w:right="51"/>
        <w:jc w:val="both"/>
        <w:rPr>
          <w:rFonts w:asciiTheme="majorHAnsi" w:hAnsiTheme="majorHAnsi" w:cs="Calibri"/>
        </w:rPr>
      </w:pPr>
      <w:r>
        <w:rPr>
          <w:rFonts w:asciiTheme="majorHAnsi" w:hAnsiTheme="majorHAnsi" w:cs="Calibri"/>
        </w:rPr>
        <w:t>R</w:t>
      </w:r>
      <w:r w:rsidR="00240CF7" w:rsidRPr="004A0108">
        <w:rPr>
          <w:rFonts w:asciiTheme="majorHAnsi" w:hAnsiTheme="majorHAnsi" w:cs="Calibri"/>
        </w:rPr>
        <w:t xml:space="preserve">egulación y supervisión de la calidad del servicio de </w:t>
      </w:r>
      <w:r w:rsidR="001C688B" w:rsidRPr="004A0108">
        <w:rPr>
          <w:rFonts w:asciiTheme="majorHAnsi" w:hAnsiTheme="majorHAnsi"/>
        </w:rPr>
        <w:t>extensión agropecuaria</w:t>
      </w:r>
    </w:p>
    <w:p w14:paraId="09AC19C0" w14:textId="77777777" w:rsidR="004A0108" w:rsidRDefault="004A0108" w:rsidP="00EA162D">
      <w:pPr>
        <w:pStyle w:val="Prrafodelista"/>
        <w:numPr>
          <w:ilvl w:val="0"/>
          <w:numId w:val="15"/>
        </w:numPr>
        <w:autoSpaceDE w:val="0"/>
        <w:autoSpaceDN w:val="0"/>
        <w:adjustRightInd w:val="0"/>
        <w:spacing w:after="200" w:line="240" w:lineRule="auto"/>
        <w:ind w:right="51"/>
        <w:jc w:val="both"/>
        <w:rPr>
          <w:rFonts w:asciiTheme="majorHAnsi" w:hAnsiTheme="majorHAnsi" w:cs="Calibri"/>
        </w:rPr>
      </w:pPr>
      <w:r>
        <w:rPr>
          <w:rFonts w:asciiTheme="majorHAnsi" w:hAnsiTheme="majorHAnsi" w:cs="Calibri"/>
        </w:rPr>
        <w:t>S</w:t>
      </w:r>
      <w:r w:rsidR="00240CF7" w:rsidRPr="004A0108">
        <w:rPr>
          <w:rFonts w:asciiTheme="majorHAnsi" w:hAnsiTheme="majorHAnsi" w:cs="Calibri"/>
        </w:rPr>
        <w:t>eguimiento y evaluación participativos y comunitarios del serv</w:t>
      </w:r>
      <w:r>
        <w:rPr>
          <w:rFonts w:asciiTheme="majorHAnsi" w:hAnsiTheme="majorHAnsi" w:cs="Calibri"/>
        </w:rPr>
        <w:t>icio para garantizar su calidad</w:t>
      </w:r>
    </w:p>
    <w:p w14:paraId="72857FD1" w14:textId="77777777" w:rsidR="004A0108" w:rsidRDefault="004A0108" w:rsidP="00EA162D">
      <w:pPr>
        <w:pStyle w:val="Prrafodelista"/>
        <w:numPr>
          <w:ilvl w:val="0"/>
          <w:numId w:val="15"/>
        </w:numPr>
        <w:autoSpaceDE w:val="0"/>
        <w:autoSpaceDN w:val="0"/>
        <w:adjustRightInd w:val="0"/>
        <w:spacing w:after="200" w:line="240" w:lineRule="auto"/>
        <w:ind w:right="51"/>
        <w:jc w:val="both"/>
        <w:rPr>
          <w:rFonts w:asciiTheme="majorHAnsi" w:hAnsiTheme="majorHAnsi" w:cs="Calibri"/>
        </w:rPr>
      </w:pPr>
      <w:r>
        <w:rPr>
          <w:rFonts w:asciiTheme="majorHAnsi" w:hAnsiTheme="majorHAnsi" w:cs="Calibri"/>
        </w:rPr>
        <w:t>A</w:t>
      </w:r>
      <w:r w:rsidR="00240CF7" w:rsidRPr="004A0108">
        <w:rPr>
          <w:rFonts w:asciiTheme="majorHAnsi" w:hAnsiTheme="majorHAnsi" w:cs="Calibri"/>
        </w:rPr>
        <w:t>rticulación del servicio con la investigación, desarrollo tecnológico e in</w:t>
      </w:r>
      <w:r>
        <w:rPr>
          <w:rFonts w:asciiTheme="majorHAnsi" w:hAnsiTheme="majorHAnsi" w:cs="Calibri"/>
        </w:rPr>
        <w:t>novación.</w:t>
      </w:r>
    </w:p>
    <w:p w14:paraId="649B7913" w14:textId="7C1F70C3" w:rsidR="004F65A3" w:rsidRPr="004A0108" w:rsidRDefault="004A0108" w:rsidP="00EA162D">
      <w:pPr>
        <w:pStyle w:val="Prrafodelista"/>
        <w:numPr>
          <w:ilvl w:val="0"/>
          <w:numId w:val="15"/>
        </w:numPr>
        <w:autoSpaceDE w:val="0"/>
        <w:autoSpaceDN w:val="0"/>
        <w:adjustRightInd w:val="0"/>
        <w:spacing w:after="200" w:line="240" w:lineRule="auto"/>
        <w:ind w:right="51"/>
        <w:jc w:val="both"/>
        <w:rPr>
          <w:rFonts w:asciiTheme="majorHAnsi" w:hAnsiTheme="majorHAnsi" w:cs="Calibri"/>
        </w:rPr>
      </w:pPr>
      <w:r>
        <w:rPr>
          <w:rFonts w:asciiTheme="majorHAnsi" w:hAnsiTheme="majorHAnsi" w:cs="Calibri"/>
        </w:rPr>
        <w:t>P</w:t>
      </w:r>
      <w:r w:rsidR="00240CF7" w:rsidRPr="004A0108">
        <w:rPr>
          <w:rFonts w:asciiTheme="majorHAnsi" w:hAnsiTheme="majorHAnsi" w:cs="Calibri"/>
        </w:rPr>
        <w:t xml:space="preserve">romoción y protección de semillas </w:t>
      </w:r>
      <w:r w:rsidR="0080696F" w:rsidRPr="004A0108">
        <w:rPr>
          <w:rFonts w:asciiTheme="majorHAnsi" w:hAnsiTheme="majorHAnsi" w:cs="Calibri"/>
        </w:rPr>
        <w:t>criollas</w:t>
      </w:r>
      <w:r w:rsidR="00240CF7" w:rsidRPr="004A0108">
        <w:rPr>
          <w:rFonts w:asciiTheme="majorHAnsi" w:hAnsiTheme="majorHAnsi" w:cs="Calibri"/>
        </w:rPr>
        <w:t xml:space="preserve"> y nativas.</w:t>
      </w:r>
    </w:p>
    <w:p w14:paraId="4726CFED" w14:textId="146BDC7A" w:rsidR="004A0108" w:rsidRDefault="004A0108" w:rsidP="004A0108">
      <w:pPr>
        <w:autoSpaceDE w:val="0"/>
        <w:autoSpaceDN w:val="0"/>
        <w:adjustRightInd w:val="0"/>
        <w:spacing w:after="200" w:line="240" w:lineRule="auto"/>
        <w:ind w:right="51"/>
        <w:jc w:val="both"/>
        <w:rPr>
          <w:rFonts w:asciiTheme="majorHAnsi" w:hAnsiTheme="majorHAnsi" w:cs="Calibri"/>
        </w:rPr>
      </w:pPr>
      <w:r>
        <w:rPr>
          <w:rFonts w:asciiTheme="majorHAnsi" w:hAnsiTheme="majorHAnsi" w:cs="Calibri"/>
        </w:rPr>
        <w:t>Para ejecutar este plan, se considera l</w:t>
      </w:r>
      <w:r w:rsidR="00636B3B" w:rsidRPr="00804851">
        <w:rPr>
          <w:rFonts w:asciiTheme="majorHAnsi" w:hAnsiTheme="majorHAnsi" w:cs="Calibri"/>
        </w:rPr>
        <w:t xml:space="preserve">a planificación del servicio </w:t>
      </w:r>
      <w:r w:rsidR="002C7751" w:rsidRPr="00804851">
        <w:rPr>
          <w:rFonts w:asciiTheme="majorHAnsi" w:hAnsiTheme="majorHAnsi" w:cs="Calibri"/>
        </w:rPr>
        <w:t>del</w:t>
      </w:r>
      <w:r w:rsidR="0080696F" w:rsidRPr="00804851">
        <w:rPr>
          <w:rFonts w:asciiTheme="majorHAnsi" w:hAnsiTheme="majorHAnsi" w:cs="Calibri"/>
        </w:rPr>
        <w:t xml:space="preserve"> servicio de la extensión agropecuaria </w:t>
      </w:r>
      <w:r w:rsidR="00636B3B" w:rsidRPr="00804851">
        <w:rPr>
          <w:rFonts w:asciiTheme="majorHAnsi" w:hAnsiTheme="majorHAnsi" w:cs="Calibri"/>
        </w:rPr>
        <w:t xml:space="preserve">con </w:t>
      </w:r>
      <w:r w:rsidR="006A53A8" w:rsidRPr="00804851">
        <w:rPr>
          <w:rFonts w:asciiTheme="majorHAnsi" w:hAnsiTheme="majorHAnsi" w:cs="Calibri"/>
        </w:rPr>
        <w:t>enfoque territorial</w:t>
      </w:r>
      <w:r w:rsidR="0005634C" w:rsidRPr="00804851">
        <w:rPr>
          <w:rFonts w:asciiTheme="majorHAnsi" w:hAnsiTheme="majorHAnsi" w:cs="Calibri"/>
        </w:rPr>
        <w:t>, de género</w:t>
      </w:r>
      <w:r w:rsidR="006A53A8" w:rsidRPr="00804851">
        <w:rPr>
          <w:rFonts w:asciiTheme="majorHAnsi" w:hAnsiTheme="majorHAnsi" w:cs="Calibri"/>
        </w:rPr>
        <w:t xml:space="preserve"> y diferencial en procesos de planeación departamental</w:t>
      </w:r>
      <w:r w:rsidR="004B2926" w:rsidRPr="00804851">
        <w:rPr>
          <w:rFonts w:asciiTheme="majorHAnsi" w:hAnsiTheme="majorHAnsi" w:cs="Calibri"/>
        </w:rPr>
        <w:t xml:space="preserve"> y municipal</w:t>
      </w:r>
      <w:r w:rsidR="00F2316D" w:rsidRPr="00804851">
        <w:rPr>
          <w:rFonts w:asciiTheme="majorHAnsi" w:hAnsiTheme="majorHAnsi" w:cs="Calibri"/>
        </w:rPr>
        <w:t xml:space="preserve">, y </w:t>
      </w:r>
      <w:r w:rsidR="0005634C" w:rsidRPr="00804851">
        <w:rPr>
          <w:rFonts w:asciiTheme="majorHAnsi" w:hAnsiTheme="majorHAnsi" w:cs="Calibri"/>
        </w:rPr>
        <w:t>se plantea el uso de otros</w:t>
      </w:r>
      <w:r w:rsidR="00F2316D" w:rsidRPr="00804851">
        <w:rPr>
          <w:rFonts w:asciiTheme="majorHAnsi" w:hAnsiTheme="majorHAnsi" w:cs="Calibri"/>
        </w:rPr>
        <w:t xml:space="preserve"> instrumentos de planificación como los planes de vida y los planes de desarrollo propios, entre otros.</w:t>
      </w:r>
      <w:r>
        <w:rPr>
          <w:rFonts w:asciiTheme="majorHAnsi" w:hAnsiTheme="majorHAnsi" w:cs="Calibri"/>
        </w:rPr>
        <w:t xml:space="preserve"> Además, la prestación del servicio estará basada en la gradualidad, medida en el logro de los objetivos planteados en los planes departamentales de extensión agropecuaria. </w:t>
      </w:r>
    </w:p>
    <w:p w14:paraId="6A806D47" w14:textId="08F5E3C1" w:rsidR="00145905" w:rsidRDefault="00145905" w:rsidP="00762285">
      <w:pPr>
        <w:autoSpaceDE w:val="0"/>
        <w:autoSpaceDN w:val="0"/>
        <w:adjustRightInd w:val="0"/>
        <w:spacing w:after="200" w:line="240" w:lineRule="auto"/>
        <w:ind w:right="51"/>
        <w:jc w:val="both"/>
        <w:rPr>
          <w:rFonts w:asciiTheme="majorHAnsi" w:hAnsiTheme="majorHAnsi" w:cs="Calibri"/>
          <w:color w:val="4472C4" w:themeColor="accent1"/>
        </w:rPr>
      </w:pPr>
    </w:p>
    <w:p w14:paraId="5C2F15C3" w14:textId="77777777" w:rsidR="004A0108" w:rsidRDefault="004A0108" w:rsidP="00762285">
      <w:pPr>
        <w:autoSpaceDE w:val="0"/>
        <w:autoSpaceDN w:val="0"/>
        <w:adjustRightInd w:val="0"/>
        <w:spacing w:after="200" w:line="240" w:lineRule="auto"/>
        <w:ind w:right="51"/>
        <w:jc w:val="both"/>
        <w:rPr>
          <w:rFonts w:asciiTheme="majorHAnsi" w:hAnsiTheme="majorHAnsi" w:cs="Calibri"/>
          <w:color w:val="4472C4" w:themeColor="accent1"/>
        </w:rPr>
      </w:pPr>
    </w:p>
    <w:p w14:paraId="1562D1F4" w14:textId="77777777" w:rsidR="004A0108" w:rsidRDefault="004A0108" w:rsidP="00762285">
      <w:pPr>
        <w:autoSpaceDE w:val="0"/>
        <w:autoSpaceDN w:val="0"/>
        <w:adjustRightInd w:val="0"/>
        <w:spacing w:after="200" w:line="240" w:lineRule="auto"/>
        <w:ind w:right="51"/>
        <w:jc w:val="both"/>
        <w:rPr>
          <w:rFonts w:asciiTheme="majorHAnsi" w:hAnsiTheme="majorHAnsi" w:cs="Calibri"/>
          <w:color w:val="4472C4" w:themeColor="accent1"/>
        </w:rPr>
      </w:pPr>
    </w:p>
    <w:p w14:paraId="0B1D37A4" w14:textId="77777777" w:rsidR="004A0108" w:rsidRDefault="004A0108" w:rsidP="00762285">
      <w:pPr>
        <w:autoSpaceDE w:val="0"/>
        <w:autoSpaceDN w:val="0"/>
        <w:adjustRightInd w:val="0"/>
        <w:spacing w:after="200" w:line="240" w:lineRule="auto"/>
        <w:ind w:right="51"/>
        <w:jc w:val="both"/>
        <w:rPr>
          <w:rFonts w:asciiTheme="majorHAnsi" w:hAnsiTheme="majorHAnsi" w:cs="Calibri"/>
          <w:color w:val="4472C4" w:themeColor="accent1"/>
        </w:rPr>
      </w:pPr>
    </w:p>
    <w:p w14:paraId="7AEC3251" w14:textId="77777777" w:rsidR="004A0108" w:rsidRDefault="004A0108" w:rsidP="00762285">
      <w:pPr>
        <w:autoSpaceDE w:val="0"/>
        <w:autoSpaceDN w:val="0"/>
        <w:adjustRightInd w:val="0"/>
        <w:spacing w:after="200" w:line="240" w:lineRule="auto"/>
        <w:ind w:right="51"/>
        <w:jc w:val="both"/>
        <w:rPr>
          <w:rFonts w:asciiTheme="majorHAnsi" w:hAnsiTheme="majorHAnsi" w:cs="Calibri"/>
          <w:color w:val="4472C4" w:themeColor="accent1"/>
        </w:rPr>
      </w:pPr>
    </w:p>
    <w:p w14:paraId="52533FEA" w14:textId="77777777" w:rsidR="004A0108" w:rsidRDefault="004A0108" w:rsidP="00762285">
      <w:pPr>
        <w:autoSpaceDE w:val="0"/>
        <w:autoSpaceDN w:val="0"/>
        <w:adjustRightInd w:val="0"/>
        <w:spacing w:after="200" w:line="240" w:lineRule="auto"/>
        <w:ind w:right="51"/>
        <w:jc w:val="both"/>
        <w:rPr>
          <w:rFonts w:asciiTheme="majorHAnsi" w:hAnsiTheme="majorHAnsi" w:cs="Calibri"/>
          <w:color w:val="4472C4" w:themeColor="accent1"/>
        </w:rPr>
      </w:pPr>
    </w:p>
    <w:p w14:paraId="5EC7E2D3" w14:textId="77777777" w:rsidR="004A0108" w:rsidRDefault="004A0108" w:rsidP="00762285">
      <w:pPr>
        <w:autoSpaceDE w:val="0"/>
        <w:autoSpaceDN w:val="0"/>
        <w:adjustRightInd w:val="0"/>
        <w:spacing w:after="200" w:line="240" w:lineRule="auto"/>
        <w:ind w:right="51"/>
        <w:jc w:val="both"/>
        <w:rPr>
          <w:rFonts w:asciiTheme="majorHAnsi" w:hAnsiTheme="majorHAnsi" w:cs="Calibri"/>
          <w:color w:val="4472C4" w:themeColor="accent1"/>
        </w:rPr>
      </w:pPr>
    </w:p>
    <w:p w14:paraId="3555AB4B" w14:textId="77777777" w:rsidR="004A0108" w:rsidRDefault="004A0108" w:rsidP="00762285">
      <w:pPr>
        <w:autoSpaceDE w:val="0"/>
        <w:autoSpaceDN w:val="0"/>
        <w:adjustRightInd w:val="0"/>
        <w:spacing w:after="200" w:line="240" w:lineRule="auto"/>
        <w:ind w:right="51"/>
        <w:jc w:val="both"/>
        <w:rPr>
          <w:rFonts w:asciiTheme="majorHAnsi" w:hAnsiTheme="majorHAnsi" w:cs="Calibri"/>
          <w:color w:val="4472C4" w:themeColor="accent1"/>
        </w:rPr>
      </w:pPr>
    </w:p>
    <w:p w14:paraId="329932A4" w14:textId="77777777" w:rsidR="004A0108" w:rsidRDefault="004A0108" w:rsidP="00762285">
      <w:pPr>
        <w:autoSpaceDE w:val="0"/>
        <w:autoSpaceDN w:val="0"/>
        <w:adjustRightInd w:val="0"/>
        <w:spacing w:after="200" w:line="240" w:lineRule="auto"/>
        <w:ind w:right="51"/>
        <w:jc w:val="both"/>
        <w:rPr>
          <w:rFonts w:asciiTheme="majorHAnsi" w:hAnsiTheme="majorHAnsi" w:cs="Calibri"/>
          <w:color w:val="4472C4" w:themeColor="accent1"/>
        </w:rPr>
      </w:pPr>
    </w:p>
    <w:p w14:paraId="5BED23AB" w14:textId="02273E6D" w:rsidR="00C54FA7" w:rsidRPr="00F86FF6" w:rsidRDefault="00A23C60" w:rsidP="00EA162D">
      <w:pPr>
        <w:pStyle w:val="Ttulo1"/>
        <w:numPr>
          <w:ilvl w:val="0"/>
          <w:numId w:val="14"/>
        </w:numPr>
      </w:pPr>
      <w:bookmarkStart w:id="2" w:name="_Toc4680857"/>
      <w:r w:rsidRPr="00F86FF6">
        <w:lastRenderedPageBreak/>
        <w:t xml:space="preserve">Antecedentes y </w:t>
      </w:r>
      <w:r w:rsidR="00A7114C" w:rsidRPr="00F86FF6">
        <w:t>j</w:t>
      </w:r>
      <w:r w:rsidRPr="00F86FF6">
        <w:t>ustificación</w:t>
      </w:r>
      <w:bookmarkEnd w:id="2"/>
    </w:p>
    <w:p w14:paraId="337E4006" w14:textId="77777777" w:rsidR="00004684" w:rsidRDefault="00004684" w:rsidP="003E5768">
      <w:pPr>
        <w:spacing w:after="240" w:line="240" w:lineRule="auto"/>
        <w:jc w:val="both"/>
        <w:rPr>
          <w:rFonts w:asciiTheme="majorHAnsi" w:hAnsiTheme="majorHAnsi"/>
        </w:rPr>
      </w:pPr>
    </w:p>
    <w:p w14:paraId="45EF16D9" w14:textId="73B78126" w:rsidR="00396D70" w:rsidRDefault="00396D70" w:rsidP="00004684">
      <w:pPr>
        <w:spacing w:after="240" w:line="240" w:lineRule="auto"/>
        <w:jc w:val="both"/>
        <w:rPr>
          <w:rFonts w:asciiTheme="majorHAnsi" w:hAnsiTheme="majorHAnsi"/>
        </w:rPr>
      </w:pPr>
      <w:r>
        <w:rPr>
          <w:rFonts w:asciiTheme="majorHAnsi" w:hAnsiTheme="majorHAnsi"/>
        </w:rPr>
        <w:t>A continuación se relacionan los antecedentes y justificación de mayor relevancia que soportan la formulación e implementación del presente plan:</w:t>
      </w:r>
    </w:p>
    <w:p w14:paraId="7D857E2F" w14:textId="77777777" w:rsidR="00396D70" w:rsidRDefault="00281A90" w:rsidP="00EA162D">
      <w:pPr>
        <w:pStyle w:val="Prrafodelista"/>
        <w:numPr>
          <w:ilvl w:val="1"/>
          <w:numId w:val="14"/>
        </w:numPr>
        <w:spacing w:after="120" w:line="240" w:lineRule="auto"/>
        <w:ind w:left="714" w:hanging="357"/>
        <w:contextualSpacing w:val="0"/>
        <w:jc w:val="both"/>
        <w:rPr>
          <w:rFonts w:asciiTheme="majorHAnsi" w:hAnsiTheme="majorHAnsi"/>
        </w:rPr>
      </w:pPr>
      <w:r w:rsidRPr="00396D70">
        <w:rPr>
          <w:rFonts w:asciiTheme="majorHAnsi" w:hAnsiTheme="majorHAnsi"/>
        </w:rPr>
        <w:t xml:space="preserve">Las </w:t>
      </w:r>
      <w:r w:rsidRPr="00396D70">
        <w:rPr>
          <w:rFonts w:asciiTheme="majorHAnsi" w:hAnsiTheme="majorHAnsi"/>
          <w:b/>
        </w:rPr>
        <w:t xml:space="preserve">Bases del Plan Nacional de Desarrollo 2018-2022 </w:t>
      </w:r>
      <w:r w:rsidRPr="00396D70">
        <w:rPr>
          <w:rFonts w:asciiTheme="majorHAnsi" w:hAnsiTheme="majorHAnsi"/>
        </w:rPr>
        <w:t xml:space="preserve">señalan la importancia de </w:t>
      </w:r>
      <w:r w:rsidR="00396D70" w:rsidRPr="00396D70">
        <w:rPr>
          <w:rFonts w:asciiTheme="majorHAnsi" w:hAnsiTheme="majorHAnsi"/>
        </w:rPr>
        <w:t xml:space="preserve">fortalecer los sistemas nacionales y regionales de innovación, robusteciendo la institucionalidad, generando mayor articulación entre distintas instancias y dando mayor claridad en los roles y funciones de las entidades, además de fortalecer la relación entre la universidad y la empresa para que la innovación resuelva de manera efectiva los retos sociales y económicos del país. </w:t>
      </w:r>
    </w:p>
    <w:p w14:paraId="54BC3858" w14:textId="77777777" w:rsidR="00396D70" w:rsidRDefault="007A62E1" w:rsidP="00EA162D">
      <w:pPr>
        <w:pStyle w:val="Prrafodelista"/>
        <w:numPr>
          <w:ilvl w:val="1"/>
          <w:numId w:val="14"/>
        </w:numPr>
        <w:spacing w:after="120" w:line="240" w:lineRule="auto"/>
        <w:ind w:left="714" w:hanging="357"/>
        <w:contextualSpacing w:val="0"/>
        <w:jc w:val="both"/>
        <w:rPr>
          <w:rFonts w:asciiTheme="majorHAnsi" w:hAnsiTheme="majorHAnsi"/>
        </w:rPr>
      </w:pPr>
      <w:r w:rsidRPr="00396D70">
        <w:rPr>
          <w:rFonts w:asciiTheme="majorHAnsi" w:hAnsiTheme="majorHAnsi"/>
        </w:rPr>
        <w:t xml:space="preserve">De acuerdo a la Misión para la Transformación del Campo (2015), el 87% de los productores colombianos utilizan modelos de </w:t>
      </w:r>
      <w:r w:rsidR="006D1F12" w:rsidRPr="00396D70">
        <w:rPr>
          <w:rFonts w:asciiTheme="majorHAnsi" w:hAnsiTheme="majorHAnsi"/>
        </w:rPr>
        <w:t>ACFC</w:t>
      </w:r>
      <w:r w:rsidRPr="00396D70">
        <w:rPr>
          <w:rFonts w:asciiTheme="majorHAnsi" w:hAnsiTheme="majorHAnsi"/>
        </w:rPr>
        <w:t xml:space="preserve">. </w:t>
      </w:r>
      <w:r w:rsidR="008D7C39" w:rsidRPr="00396D70">
        <w:rPr>
          <w:rFonts w:asciiTheme="majorHAnsi" w:hAnsiTheme="majorHAnsi"/>
        </w:rPr>
        <w:t xml:space="preserve">Según el CNA (2014), el 16% de esta población ha recibido asistencia técnica, es decir, se atendieron 502.009 personas. </w:t>
      </w:r>
    </w:p>
    <w:p w14:paraId="70731533" w14:textId="77777777" w:rsidR="00396D70" w:rsidRDefault="00396D70" w:rsidP="00EA162D">
      <w:pPr>
        <w:pStyle w:val="Prrafodelista"/>
        <w:numPr>
          <w:ilvl w:val="1"/>
          <w:numId w:val="14"/>
        </w:numPr>
        <w:spacing w:after="120" w:line="240" w:lineRule="auto"/>
        <w:ind w:left="714" w:hanging="357"/>
        <w:contextualSpacing w:val="0"/>
        <w:jc w:val="both"/>
        <w:rPr>
          <w:rFonts w:asciiTheme="majorHAnsi" w:hAnsiTheme="majorHAnsi"/>
        </w:rPr>
      </w:pPr>
      <w:r w:rsidRPr="00396D70">
        <w:rPr>
          <w:rFonts w:asciiTheme="majorHAnsi" w:hAnsiTheme="majorHAnsi"/>
        </w:rPr>
        <w:t>Según l</w:t>
      </w:r>
      <w:r w:rsidR="00B54E13" w:rsidRPr="00396D70">
        <w:rPr>
          <w:rFonts w:asciiTheme="majorHAnsi" w:hAnsiTheme="majorHAnsi"/>
        </w:rPr>
        <w:t>a publicación “El Desarrollo rural en cifras No. 3 (2017)”, 3</w:t>
      </w:r>
      <w:r w:rsidR="0083172B" w:rsidRPr="00396D70">
        <w:rPr>
          <w:rFonts w:asciiTheme="majorHAnsi" w:hAnsiTheme="majorHAnsi"/>
        </w:rPr>
        <w:t>’</w:t>
      </w:r>
      <w:r w:rsidR="00B54E13" w:rsidRPr="00396D70">
        <w:rPr>
          <w:rFonts w:asciiTheme="majorHAnsi" w:hAnsiTheme="majorHAnsi"/>
        </w:rPr>
        <w:t xml:space="preserve">137.561 personas hacen parte ACFC representando 74,1% de las UPAs que cumplen con dicha categoría.  Al caracterizar </w:t>
      </w:r>
      <w:r w:rsidR="0083172B" w:rsidRPr="00396D70">
        <w:rPr>
          <w:rFonts w:asciiTheme="majorHAnsi" w:hAnsiTheme="majorHAnsi"/>
        </w:rPr>
        <w:t>esta</w:t>
      </w:r>
      <w:r w:rsidR="00B54E13" w:rsidRPr="00396D70">
        <w:rPr>
          <w:rFonts w:asciiTheme="majorHAnsi" w:hAnsiTheme="majorHAnsi"/>
        </w:rPr>
        <w:t xml:space="preserve"> población</w:t>
      </w:r>
      <w:r w:rsidR="0083172B" w:rsidRPr="00396D70">
        <w:rPr>
          <w:rFonts w:asciiTheme="majorHAnsi" w:hAnsiTheme="majorHAnsi"/>
        </w:rPr>
        <w:t xml:space="preserve">, </w:t>
      </w:r>
      <w:r w:rsidR="00B54E13" w:rsidRPr="00396D70">
        <w:rPr>
          <w:rFonts w:asciiTheme="majorHAnsi" w:hAnsiTheme="majorHAnsi"/>
        </w:rPr>
        <w:t>tenemos que el 53,7% son hombres (1.622.119), el 48,3% son mujeres</w:t>
      </w:r>
      <w:r w:rsidR="003A501C" w:rsidRPr="00396D70">
        <w:rPr>
          <w:rFonts w:asciiTheme="majorHAnsi" w:hAnsiTheme="majorHAnsi"/>
        </w:rPr>
        <w:t xml:space="preserve"> (</w:t>
      </w:r>
      <w:r w:rsidR="00B54E13" w:rsidRPr="00396D70">
        <w:rPr>
          <w:rFonts w:asciiTheme="majorHAnsi" w:hAnsiTheme="majorHAnsi"/>
        </w:rPr>
        <w:t>1.515.441</w:t>
      </w:r>
      <w:r w:rsidR="003A501C" w:rsidRPr="00396D70">
        <w:rPr>
          <w:rFonts w:asciiTheme="majorHAnsi" w:hAnsiTheme="majorHAnsi"/>
        </w:rPr>
        <w:t>)</w:t>
      </w:r>
      <w:r w:rsidR="008D7C39" w:rsidRPr="00396D70">
        <w:rPr>
          <w:rFonts w:asciiTheme="majorHAnsi" w:hAnsiTheme="majorHAnsi"/>
        </w:rPr>
        <w:t>, y que el 73,9 % de jefatura de hogar est</w:t>
      </w:r>
      <w:r w:rsidR="0083172B" w:rsidRPr="00396D70">
        <w:rPr>
          <w:rFonts w:asciiTheme="majorHAnsi" w:hAnsiTheme="majorHAnsi"/>
        </w:rPr>
        <w:t>á</w:t>
      </w:r>
      <w:r w:rsidR="008D7C39" w:rsidRPr="00396D70">
        <w:rPr>
          <w:rFonts w:asciiTheme="majorHAnsi" w:hAnsiTheme="majorHAnsi"/>
        </w:rPr>
        <w:t xml:space="preserve"> cargo de los hombres</w:t>
      </w:r>
      <w:r w:rsidR="0083172B" w:rsidRPr="00396D70">
        <w:rPr>
          <w:rFonts w:asciiTheme="majorHAnsi" w:hAnsiTheme="majorHAnsi"/>
        </w:rPr>
        <w:t>,</w:t>
      </w:r>
      <w:r w:rsidR="008D7C39" w:rsidRPr="00396D70">
        <w:rPr>
          <w:rFonts w:asciiTheme="majorHAnsi" w:hAnsiTheme="majorHAnsi"/>
        </w:rPr>
        <w:t xml:space="preserve"> y 26,1% </w:t>
      </w:r>
      <w:r w:rsidR="0083172B" w:rsidRPr="00396D70">
        <w:rPr>
          <w:rFonts w:asciiTheme="majorHAnsi" w:hAnsiTheme="majorHAnsi"/>
        </w:rPr>
        <w:t>de las</w:t>
      </w:r>
      <w:r w:rsidR="008D7C39" w:rsidRPr="00396D70">
        <w:rPr>
          <w:rFonts w:asciiTheme="majorHAnsi" w:hAnsiTheme="majorHAnsi"/>
        </w:rPr>
        <w:t xml:space="preserve"> mujeres. Sobre el componente étnico se observa </w:t>
      </w:r>
      <w:r w:rsidR="00B54E13" w:rsidRPr="00396D70">
        <w:rPr>
          <w:rFonts w:asciiTheme="majorHAnsi" w:hAnsiTheme="majorHAnsi"/>
        </w:rPr>
        <w:t xml:space="preserve">que el 22,5% </w:t>
      </w:r>
      <w:r w:rsidR="008D7C39" w:rsidRPr="00396D70">
        <w:rPr>
          <w:rFonts w:asciiTheme="majorHAnsi" w:hAnsiTheme="majorHAnsi"/>
        </w:rPr>
        <w:t>corresponden a</w:t>
      </w:r>
      <w:r w:rsidR="00B54E13" w:rsidRPr="00396D70">
        <w:rPr>
          <w:rFonts w:asciiTheme="majorHAnsi" w:hAnsiTheme="majorHAnsi"/>
        </w:rPr>
        <w:t xml:space="preserve"> grupos étnicos, en mayor proporción a indígena</w:t>
      </w:r>
      <w:r w:rsidR="008D7C39" w:rsidRPr="00396D70">
        <w:rPr>
          <w:rFonts w:asciiTheme="majorHAnsi" w:hAnsiTheme="majorHAnsi"/>
        </w:rPr>
        <w:t>s,</w:t>
      </w:r>
      <w:r w:rsidR="00B54E13" w:rsidRPr="00396D70">
        <w:rPr>
          <w:rFonts w:asciiTheme="majorHAnsi" w:hAnsiTheme="majorHAnsi"/>
        </w:rPr>
        <w:t xml:space="preserve"> seguido de</w:t>
      </w:r>
      <w:r w:rsidR="008D7C39" w:rsidRPr="00396D70">
        <w:rPr>
          <w:rFonts w:asciiTheme="majorHAnsi" w:hAnsiTheme="majorHAnsi"/>
        </w:rPr>
        <w:t xml:space="preserve"> las comunidades negras, mulatas</w:t>
      </w:r>
      <w:r w:rsidR="00B54E13" w:rsidRPr="00396D70">
        <w:rPr>
          <w:rFonts w:asciiTheme="majorHAnsi" w:hAnsiTheme="majorHAnsi"/>
        </w:rPr>
        <w:t xml:space="preserve"> y palenquera</w:t>
      </w:r>
      <w:r w:rsidR="008D7C39" w:rsidRPr="00396D70">
        <w:rPr>
          <w:rFonts w:asciiTheme="majorHAnsi" w:hAnsiTheme="majorHAnsi"/>
        </w:rPr>
        <w:t>s</w:t>
      </w:r>
      <w:r w:rsidR="00B54E13" w:rsidRPr="00396D70">
        <w:rPr>
          <w:rFonts w:asciiTheme="majorHAnsi" w:hAnsiTheme="majorHAnsi"/>
        </w:rPr>
        <w:t xml:space="preserve">.  </w:t>
      </w:r>
    </w:p>
    <w:p w14:paraId="46F74640" w14:textId="77777777" w:rsidR="00396D70" w:rsidRDefault="00396D70" w:rsidP="00EA162D">
      <w:pPr>
        <w:pStyle w:val="Prrafodelista"/>
        <w:numPr>
          <w:ilvl w:val="1"/>
          <w:numId w:val="14"/>
        </w:numPr>
        <w:spacing w:after="120" w:line="240" w:lineRule="auto"/>
        <w:ind w:left="714" w:hanging="357"/>
        <w:contextualSpacing w:val="0"/>
        <w:jc w:val="both"/>
        <w:rPr>
          <w:rFonts w:asciiTheme="majorHAnsi" w:hAnsiTheme="majorHAnsi"/>
        </w:rPr>
      </w:pPr>
      <w:r w:rsidRPr="00396D70">
        <w:rPr>
          <w:rFonts w:asciiTheme="majorHAnsi" w:hAnsiTheme="majorHAnsi"/>
        </w:rPr>
        <w:t xml:space="preserve">El </w:t>
      </w:r>
      <w:r w:rsidR="00BF7E92" w:rsidRPr="00396D70">
        <w:rPr>
          <w:rFonts w:asciiTheme="majorHAnsi" w:hAnsiTheme="majorHAnsi"/>
        </w:rPr>
        <w:t>MinAgricultura</w:t>
      </w:r>
      <w:r w:rsidR="00BB43E9" w:rsidRPr="00396D70">
        <w:rPr>
          <w:rFonts w:asciiTheme="majorHAnsi" w:hAnsiTheme="majorHAnsi"/>
        </w:rPr>
        <w:t xml:space="preserve"> en trabajo conjunto con diversas entidades públicas, sociedad civil, academia y cooperación internacional elaboró un documento con los lineamientos de política para la ACFC, adoptados mediante </w:t>
      </w:r>
      <w:r w:rsidR="00BF7E92" w:rsidRPr="00396D70">
        <w:rPr>
          <w:rFonts w:asciiTheme="majorHAnsi" w:hAnsiTheme="majorHAnsi"/>
        </w:rPr>
        <w:t xml:space="preserve">Resolución 464 del 29 de 2017 </w:t>
      </w:r>
      <w:r w:rsidR="00BF7E92" w:rsidRPr="00396D70">
        <w:rPr>
          <w:rFonts w:asciiTheme="majorHAnsi" w:hAnsiTheme="majorHAnsi"/>
          <w:b/>
          <w:i/>
        </w:rPr>
        <w:t>“Por la cual se adoptan los Lineamientos estratégicos de política pública para la Agricultura Campesina, Familiar y Comunitaria y s</w:t>
      </w:r>
      <w:r w:rsidR="00BB43E9" w:rsidRPr="00396D70">
        <w:rPr>
          <w:rFonts w:asciiTheme="majorHAnsi" w:hAnsiTheme="majorHAnsi"/>
          <w:b/>
          <w:i/>
        </w:rPr>
        <w:t xml:space="preserve">e adoptan otras disposiciones”. </w:t>
      </w:r>
      <w:r w:rsidR="00BB43E9" w:rsidRPr="00396D70">
        <w:rPr>
          <w:rFonts w:asciiTheme="majorHAnsi" w:hAnsiTheme="majorHAnsi"/>
        </w:rPr>
        <w:t xml:space="preserve">El objeto general de estos lineamientos de política es planificar y gestionar la acción integral del Estado, y orientar la institucionalidad social o privada, dirigida al fortalecimiento de las capacidades sociales, económicas y políticas de las familias, comunidades y organizaciones de la ACFC, sobre la base de un desarrollo rural con enfoque territorial que mejore la sostenibilidad de la producción agropecuaria y genere bienestar y buen vivir de la población rural. </w:t>
      </w:r>
    </w:p>
    <w:p w14:paraId="3A2D8C80" w14:textId="174EE623" w:rsidR="00004684" w:rsidRDefault="00004684" w:rsidP="00EA162D">
      <w:pPr>
        <w:pStyle w:val="Prrafodelista"/>
        <w:numPr>
          <w:ilvl w:val="1"/>
          <w:numId w:val="14"/>
        </w:numPr>
        <w:spacing w:after="120" w:line="240" w:lineRule="auto"/>
        <w:ind w:left="714" w:hanging="357"/>
        <w:contextualSpacing w:val="0"/>
        <w:jc w:val="both"/>
        <w:rPr>
          <w:rFonts w:asciiTheme="majorHAnsi" w:hAnsiTheme="majorHAnsi"/>
        </w:rPr>
      </w:pPr>
      <w:r w:rsidRPr="00396D70">
        <w:rPr>
          <w:rFonts w:asciiTheme="majorHAnsi" w:hAnsiTheme="majorHAnsi"/>
        </w:rPr>
        <w:t>En este mismo orden de ideas, el Acuerdo Final de Paz en el primer punto que se refiere a la Reforma Rural Integral cita que “</w:t>
      </w:r>
      <w:r w:rsidRPr="00396D70">
        <w:rPr>
          <w:rFonts w:asciiTheme="majorHAnsi" w:hAnsiTheme="majorHAnsi"/>
          <w:i/>
        </w:rPr>
        <w:t>con el propósito de fortalecer las capacidades productivas de la economía campesina, familiar y comunitaria, para desarrollar sus proyectos y estimular procesos de innovación tecnológica, el Gobierno Nacional diseñará e implementará un plan nacional de asistencia integral técnica, tecnológica y de impulso a la investigación</w:t>
      </w:r>
      <w:r w:rsidRPr="00396D70">
        <w:rPr>
          <w:rFonts w:asciiTheme="majorHAnsi" w:hAnsiTheme="majorHAnsi"/>
        </w:rPr>
        <w:t xml:space="preserve">”. </w:t>
      </w:r>
    </w:p>
    <w:p w14:paraId="5B67ABA4" w14:textId="7F58F136" w:rsidR="0062434F" w:rsidRDefault="00396D70" w:rsidP="00EA162D">
      <w:pPr>
        <w:pStyle w:val="Prrafodelista"/>
        <w:numPr>
          <w:ilvl w:val="1"/>
          <w:numId w:val="14"/>
        </w:numPr>
        <w:spacing w:after="120" w:line="240" w:lineRule="auto"/>
        <w:ind w:left="714" w:right="49" w:hanging="357"/>
        <w:contextualSpacing w:val="0"/>
        <w:jc w:val="both"/>
        <w:rPr>
          <w:rFonts w:asciiTheme="majorHAnsi" w:hAnsiTheme="majorHAnsi" w:cs="Calibri"/>
        </w:rPr>
      </w:pPr>
      <w:r w:rsidRPr="00396D70">
        <w:rPr>
          <w:rFonts w:asciiTheme="majorHAnsi" w:hAnsiTheme="majorHAnsi" w:cs="Calibri"/>
        </w:rPr>
        <w:t xml:space="preserve">Históricamente, </w:t>
      </w:r>
      <w:r>
        <w:rPr>
          <w:rFonts w:asciiTheme="majorHAnsi" w:hAnsiTheme="majorHAnsi" w:cs="Calibri"/>
        </w:rPr>
        <w:t>en Colombia se han</w:t>
      </w:r>
      <w:r w:rsidRPr="00396D70">
        <w:rPr>
          <w:rFonts w:asciiTheme="majorHAnsi" w:hAnsiTheme="majorHAnsi" w:cs="Calibri"/>
        </w:rPr>
        <w:t xml:space="preserve"> prestado servicios de asistencia técnica agropecuaria</w:t>
      </w:r>
      <w:r>
        <w:rPr>
          <w:rFonts w:asciiTheme="majorHAnsi" w:hAnsiTheme="majorHAnsi" w:cs="Calibri"/>
        </w:rPr>
        <w:t xml:space="preserve"> y de extensión</w:t>
      </w:r>
      <w:r w:rsidRPr="00396D70">
        <w:rPr>
          <w:rFonts w:asciiTheme="majorHAnsi" w:hAnsiTheme="majorHAnsi" w:cs="Calibri"/>
        </w:rPr>
        <w:t xml:space="preserve">:  </w:t>
      </w:r>
    </w:p>
    <w:p w14:paraId="743AC9A7" w14:textId="77777777" w:rsidR="00DA469C" w:rsidRDefault="00DA469C" w:rsidP="00DA469C">
      <w:pPr>
        <w:spacing w:after="120" w:line="240" w:lineRule="auto"/>
        <w:ind w:right="49"/>
        <w:jc w:val="both"/>
        <w:rPr>
          <w:rFonts w:asciiTheme="majorHAnsi" w:hAnsiTheme="majorHAnsi" w:cs="Calibri"/>
        </w:rPr>
      </w:pPr>
    </w:p>
    <w:p w14:paraId="68EA158A" w14:textId="77777777" w:rsidR="00DA469C" w:rsidRPr="00DA469C" w:rsidRDefault="00DA469C" w:rsidP="00DA469C">
      <w:pPr>
        <w:spacing w:after="120" w:line="240" w:lineRule="auto"/>
        <w:ind w:right="49"/>
        <w:jc w:val="both"/>
        <w:rPr>
          <w:rFonts w:asciiTheme="majorHAnsi" w:hAnsiTheme="majorHAnsi" w:cs="Calibri"/>
        </w:rPr>
      </w:pPr>
    </w:p>
    <w:p w14:paraId="681A7B75" w14:textId="37FD8337" w:rsidR="0062434F" w:rsidRDefault="00A73608" w:rsidP="00B036A2">
      <w:pPr>
        <w:pStyle w:val="Textoindependiente"/>
        <w:ind w:right="49"/>
        <w:jc w:val="center"/>
        <w:rPr>
          <w:rFonts w:asciiTheme="majorHAnsi" w:hAnsiTheme="majorHAnsi" w:cs="Calibri"/>
          <w:lang w:val="es-CO"/>
        </w:rPr>
      </w:pPr>
      <w:r>
        <w:rPr>
          <w:rFonts w:asciiTheme="majorHAnsi" w:hAnsiTheme="majorHAnsi" w:cs="Calibri"/>
          <w:b/>
          <w:lang w:val="es-CO"/>
        </w:rPr>
        <w:lastRenderedPageBreak/>
        <w:t>Tabla 2.</w:t>
      </w:r>
      <w:r w:rsidR="0062434F" w:rsidRPr="00A73608">
        <w:rPr>
          <w:rFonts w:asciiTheme="majorHAnsi" w:hAnsiTheme="majorHAnsi" w:cs="Calibri"/>
          <w:lang w:val="es-CO"/>
        </w:rPr>
        <w:t xml:space="preserve"> Cronología de la Asistencia Técnica Agropecuaria (ATA) y los Servicios de Extensión (SE)</w:t>
      </w:r>
      <w:r w:rsidR="0062434F" w:rsidRPr="00A73608">
        <w:rPr>
          <w:rStyle w:val="Refdenotaalpie"/>
          <w:rFonts w:asciiTheme="majorHAnsi" w:hAnsiTheme="majorHAnsi" w:cs="Calibri"/>
          <w:lang w:val="es-CO"/>
        </w:rPr>
        <w:footnoteReference w:id="1"/>
      </w:r>
      <w:r w:rsidR="0062434F" w:rsidRPr="00A73608">
        <w:rPr>
          <w:rFonts w:asciiTheme="majorHAnsi" w:hAnsiTheme="majorHAnsi" w:cs="Calibri"/>
          <w:lang w:val="es-CO"/>
        </w:rPr>
        <w:t>.</w:t>
      </w:r>
    </w:p>
    <w:p w14:paraId="122AA99E" w14:textId="77777777" w:rsidR="00396D70" w:rsidRPr="00A73608" w:rsidRDefault="00396D70" w:rsidP="00B036A2">
      <w:pPr>
        <w:pStyle w:val="Textoindependiente"/>
        <w:ind w:right="49"/>
        <w:jc w:val="center"/>
        <w:rPr>
          <w:rFonts w:asciiTheme="majorHAnsi" w:hAnsiTheme="majorHAnsi" w:cs="Calibri"/>
          <w:lang w:val="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6"/>
        <w:gridCol w:w="7982"/>
      </w:tblGrid>
      <w:tr w:rsidR="0062434F" w:rsidRPr="00396D70" w14:paraId="42760708" w14:textId="77777777" w:rsidTr="006024D9">
        <w:trPr>
          <w:trHeight w:val="20"/>
        </w:trPr>
        <w:tc>
          <w:tcPr>
            <w:tcW w:w="479" w:type="pct"/>
            <w:shd w:val="clear" w:color="auto" w:fill="9CC2E5" w:themeFill="accent5" w:themeFillTint="99"/>
            <w:vAlign w:val="center"/>
          </w:tcPr>
          <w:p w14:paraId="5AFF140A" w14:textId="77777777" w:rsidR="0062434F" w:rsidRPr="00396D70" w:rsidRDefault="0062434F" w:rsidP="00AE5F60">
            <w:pPr>
              <w:pStyle w:val="TableParagraph"/>
              <w:spacing w:before="125"/>
              <w:ind w:left="103" w:right="49"/>
              <w:jc w:val="center"/>
              <w:rPr>
                <w:rFonts w:asciiTheme="majorHAnsi" w:hAnsiTheme="majorHAnsi" w:cs="Calibri"/>
                <w:b/>
                <w:sz w:val="16"/>
                <w:szCs w:val="20"/>
              </w:rPr>
            </w:pPr>
            <w:r w:rsidRPr="00396D70">
              <w:rPr>
                <w:rFonts w:asciiTheme="majorHAnsi" w:hAnsiTheme="majorHAnsi" w:cs="Calibri"/>
                <w:b/>
                <w:sz w:val="16"/>
                <w:szCs w:val="20"/>
              </w:rPr>
              <w:t>1953</w:t>
            </w:r>
          </w:p>
        </w:tc>
        <w:tc>
          <w:tcPr>
            <w:tcW w:w="4521" w:type="pct"/>
            <w:shd w:val="clear" w:color="auto" w:fill="auto"/>
            <w:vAlign w:val="center"/>
          </w:tcPr>
          <w:p w14:paraId="06B0A9FD" w14:textId="77777777" w:rsidR="0062434F" w:rsidRPr="00396D70" w:rsidRDefault="00A7401E" w:rsidP="00A7401E">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Con el apoyo de los Estados Unidos de América, s</w:t>
            </w:r>
            <w:r w:rsidR="0062434F" w:rsidRPr="00396D70">
              <w:rPr>
                <w:rFonts w:asciiTheme="majorHAnsi" w:hAnsiTheme="majorHAnsi" w:cs="Calibri"/>
                <w:sz w:val="16"/>
                <w:szCs w:val="20"/>
                <w:lang w:val="es-CO"/>
              </w:rPr>
              <w:t>e inicia la extensión en Colombia con la creación de</w:t>
            </w:r>
            <w:r w:rsidR="00A7114C" w:rsidRPr="00396D70">
              <w:rPr>
                <w:rFonts w:asciiTheme="majorHAnsi" w:hAnsiTheme="majorHAnsi" w:cs="Calibri"/>
                <w:sz w:val="16"/>
                <w:szCs w:val="20"/>
                <w:lang w:val="es-CO"/>
              </w:rPr>
              <w:t>l Servicio Técnico Agrícola Colombiano Americano</w:t>
            </w:r>
            <w:r w:rsidR="0062434F" w:rsidRPr="00396D70">
              <w:rPr>
                <w:rFonts w:asciiTheme="majorHAnsi" w:hAnsiTheme="majorHAnsi" w:cs="Calibri"/>
                <w:sz w:val="16"/>
                <w:szCs w:val="20"/>
                <w:lang w:val="es-CO"/>
              </w:rPr>
              <w:t xml:space="preserve"> </w:t>
            </w:r>
            <w:r w:rsidR="00A7114C" w:rsidRPr="00396D70">
              <w:rPr>
                <w:rFonts w:asciiTheme="majorHAnsi" w:hAnsiTheme="majorHAnsi" w:cs="Calibri"/>
                <w:sz w:val="16"/>
                <w:szCs w:val="20"/>
                <w:lang w:val="es-CO"/>
              </w:rPr>
              <w:t>(</w:t>
            </w:r>
            <w:r w:rsidR="0062434F" w:rsidRPr="00396D70">
              <w:rPr>
                <w:rFonts w:asciiTheme="majorHAnsi" w:hAnsiTheme="majorHAnsi" w:cs="Calibri"/>
                <w:sz w:val="16"/>
                <w:szCs w:val="20"/>
                <w:lang w:val="es-CO"/>
              </w:rPr>
              <w:t>STACA</w:t>
            </w:r>
            <w:r w:rsidR="00D042CE" w:rsidRPr="00396D70">
              <w:rPr>
                <w:rFonts w:asciiTheme="majorHAnsi" w:hAnsiTheme="majorHAnsi" w:cs="Calibri"/>
                <w:sz w:val="16"/>
                <w:szCs w:val="20"/>
                <w:lang w:val="es-CO"/>
              </w:rPr>
              <w:t>).</w:t>
            </w:r>
          </w:p>
        </w:tc>
      </w:tr>
      <w:tr w:rsidR="0062434F" w:rsidRPr="00396D70" w14:paraId="3E763F66" w14:textId="77777777" w:rsidTr="006024D9">
        <w:trPr>
          <w:trHeight w:val="20"/>
        </w:trPr>
        <w:tc>
          <w:tcPr>
            <w:tcW w:w="479" w:type="pct"/>
            <w:shd w:val="clear" w:color="auto" w:fill="9CC2E5" w:themeFill="accent5" w:themeFillTint="99"/>
            <w:vAlign w:val="center"/>
          </w:tcPr>
          <w:p w14:paraId="44F8999E" w14:textId="77777777" w:rsidR="0062434F" w:rsidRPr="00396D70" w:rsidRDefault="0062434F" w:rsidP="00AE5F60">
            <w:pPr>
              <w:pStyle w:val="TableParagraph"/>
              <w:spacing w:before="4"/>
              <w:ind w:right="49"/>
              <w:jc w:val="center"/>
              <w:rPr>
                <w:rFonts w:asciiTheme="majorHAnsi" w:hAnsiTheme="majorHAnsi" w:cs="Calibri"/>
                <w:b/>
                <w:sz w:val="16"/>
                <w:szCs w:val="20"/>
                <w:lang w:val="es-CO"/>
              </w:rPr>
            </w:pPr>
          </w:p>
          <w:p w14:paraId="102A28D4" w14:textId="77777777" w:rsidR="0062434F" w:rsidRPr="00396D70" w:rsidRDefault="0062434F" w:rsidP="00AE5F60">
            <w:pPr>
              <w:pStyle w:val="TableParagraph"/>
              <w:spacing w:before="1"/>
              <w:ind w:left="103" w:right="49"/>
              <w:jc w:val="center"/>
              <w:rPr>
                <w:rFonts w:asciiTheme="majorHAnsi" w:hAnsiTheme="majorHAnsi" w:cs="Calibri"/>
                <w:b/>
                <w:sz w:val="16"/>
                <w:szCs w:val="20"/>
              </w:rPr>
            </w:pPr>
            <w:r w:rsidRPr="00396D70">
              <w:rPr>
                <w:rFonts w:asciiTheme="majorHAnsi" w:hAnsiTheme="majorHAnsi" w:cs="Calibri"/>
                <w:b/>
                <w:sz w:val="16"/>
                <w:szCs w:val="20"/>
              </w:rPr>
              <w:t>1957</w:t>
            </w:r>
          </w:p>
        </w:tc>
        <w:tc>
          <w:tcPr>
            <w:tcW w:w="4521" w:type="pct"/>
            <w:shd w:val="clear" w:color="auto" w:fill="auto"/>
            <w:vAlign w:val="center"/>
          </w:tcPr>
          <w:p w14:paraId="3C6D0C1B" w14:textId="77777777" w:rsidR="0062434F" w:rsidRPr="00396D70" w:rsidRDefault="00AD6941" w:rsidP="001B3582">
            <w:pPr>
              <w:pStyle w:val="TableParagraph"/>
              <w:spacing w:before="5"/>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 xml:space="preserve">El </w:t>
            </w:r>
            <w:r w:rsidR="0062434F" w:rsidRPr="00396D70">
              <w:rPr>
                <w:rFonts w:asciiTheme="majorHAnsi" w:hAnsiTheme="majorHAnsi" w:cs="Calibri"/>
                <w:sz w:val="16"/>
                <w:szCs w:val="20"/>
                <w:lang w:val="es-CO"/>
              </w:rPr>
              <w:t xml:space="preserve">STACA se incorpora al Ministerio de Agricultura y se amplía a todo el país con tres programas: 1) Producción </w:t>
            </w:r>
            <w:r w:rsidRPr="00396D70">
              <w:rPr>
                <w:rFonts w:asciiTheme="majorHAnsi" w:hAnsiTheme="majorHAnsi" w:cs="Calibri"/>
                <w:sz w:val="16"/>
                <w:szCs w:val="20"/>
                <w:lang w:val="es-CO"/>
              </w:rPr>
              <w:t>a</w:t>
            </w:r>
            <w:r w:rsidR="0062434F" w:rsidRPr="00396D70">
              <w:rPr>
                <w:rFonts w:asciiTheme="majorHAnsi" w:hAnsiTheme="majorHAnsi" w:cs="Calibri"/>
                <w:sz w:val="16"/>
                <w:szCs w:val="20"/>
                <w:lang w:val="es-CO"/>
              </w:rPr>
              <w:t xml:space="preserve">grícola y </w:t>
            </w:r>
            <w:r w:rsidRPr="00396D70">
              <w:rPr>
                <w:rFonts w:asciiTheme="majorHAnsi" w:hAnsiTheme="majorHAnsi" w:cs="Calibri"/>
                <w:sz w:val="16"/>
                <w:szCs w:val="20"/>
                <w:lang w:val="es-CO"/>
              </w:rPr>
              <w:t>a</w:t>
            </w:r>
            <w:r w:rsidR="0062434F" w:rsidRPr="00396D70">
              <w:rPr>
                <w:rFonts w:asciiTheme="majorHAnsi" w:hAnsiTheme="majorHAnsi" w:cs="Calibri"/>
                <w:sz w:val="16"/>
                <w:szCs w:val="20"/>
                <w:lang w:val="es-CO"/>
              </w:rPr>
              <w:t>nimal; 2) Mejoramiento del</w:t>
            </w:r>
            <w:r w:rsidRPr="00396D70">
              <w:rPr>
                <w:rFonts w:asciiTheme="majorHAnsi" w:hAnsiTheme="majorHAnsi" w:cs="Calibri"/>
                <w:sz w:val="16"/>
                <w:szCs w:val="20"/>
                <w:lang w:val="es-CO"/>
              </w:rPr>
              <w:t xml:space="preserve"> h</w:t>
            </w:r>
            <w:r w:rsidR="0062434F" w:rsidRPr="00396D70">
              <w:rPr>
                <w:rFonts w:asciiTheme="majorHAnsi" w:hAnsiTheme="majorHAnsi" w:cs="Calibri"/>
                <w:sz w:val="16"/>
                <w:szCs w:val="20"/>
                <w:lang w:val="es-CO"/>
              </w:rPr>
              <w:t>ogar;  y</w:t>
            </w:r>
            <w:r w:rsidRPr="00396D70">
              <w:rPr>
                <w:rFonts w:asciiTheme="majorHAnsi" w:hAnsiTheme="majorHAnsi" w:cs="Calibri"/>
                <w:sz w:val="16"/>
                <w:szCs w:val="20"/>
                <w:lang w:val="es-CO"/>
              </w:rPr>
              <w:t xml:space="preserve"> </w:t>
            </w:r>
            <w:r w:rsidR="0062434F" w:rsidRPr="00396D70">
              <w:rPr>
                <w:rFonts w:asciiTheme="majorHAnsi" w:hAnsiTheme="majorHAnsi" w:cs="Calibri"/>
                <w:sz w:val="16"/>
                <w:szCs w:val="20"/>
                <w:lang w:val="es-CO"/>
              </w:rPr>
              <w:t>3) Clubes 4-H para la juventud rural.</w:t>
            </w:r>
          </w:p>
        </w:tc>
      </w:tr>
      <w:tr w:rsidR="0062434F" w:rsidRPr="00396D70" w14:paraId="0430744E" w14:textId="77777777" w:rsidTr="006024D9">
        <w:trPr>
          <w:trHeight w:val="20"/>
        </w:trPr>
        <w:tc>
          <w:tcPr>
            <w:tcW w:w="479" w:type="pct"/>
            <w:shd w:val="clear" w:color="auto" w:fill="9CC2E5" w:themeFill="accent5" w:themeFillTint="99"/>
            <w:vAlign w:val="center"/>
          </w:tcPr>
          <w:p w14:paraId="596B12DB" w14:textId="77777777" w:rsidR="0062434F" w:rsidRPr="00396D70" w:rsidRDefault="0062434F" w:rsidP="00AE5F60">
            <w:pPr>
              <w:pStyle w:val="TableParagraph"/>
              <w:spacing w:before="4"/>
              <w:ind w:right="49"/>
              <w:jc w:val="center"/>
              <w:rPr>
                <w:rFonts w:asciiTheme="majorHAnsi" w:hAnsiTheme="majorHAnsi" w:cs="Calibri"/>
                <w:b/>
                <w:sz w:val="16"/>
                <w:szCs w:val="20"/>
                <w:lang w:val="es-CO"/>
              </w:rPr>
            </w:pPr>
          </w:p>
          <w:p w14:paraId="7BBF3D7D" w14:textId="77777777" w:rsidR="0062434F" w:rsidRPr="00396D70" w:rsidRDefault="0062434F" w:rsidP="00AE5F60">
            <w:pPr>
              <w:pStyle w:val="TableParagraph"/>
              <w:spacing w:before="1"/>
              <w:ind w:left="103" w:right="49"/>
              <w:jc w:val="center"/>
              <w:rPr>
                <w:rFonts w:asciiTheme="majorHAnsi" w:hAnsiTheme="majorHAnsi" w:cs="Calibri"/>
                <w:b/>
                <w:sz w:val="16"/>
                <w:szCs w:val="20"/>
              </w:rPr>
            </w:pPr>
            <w:r w:rsidRPr="00396D70">
              <w:rPr>
                <w:rFonts w:asciiTheme="majorHAnsi" w:hAnsiTheme="majorHAnsi" w:cs="Calibri"/>
                <w:b/>
                <w:sz w:val="16"/>
                <w:szCs w:val="20"/>
              </w:rPr>
              <w:t>1967</w:t>
            </w:r>
          </w:p>
        </w:tc>
        <w:tc>
          <w:tcPr>
            <w:tcW w:w="4521" w:type="pct"/>
            <w:shd w:val="clear" w:color="auto" w:fill="auto"/>
            <w:vAlign w:val="center"/>
          </w:tcPr>
          <w:p w14:paraId="72A6CDC2" w14:textId="77777777" w:rsidR="0062434F" w:rsidRPr="00396D70" w:rsidRDefault="0062434F" w:rsidP="006D2769">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Estos programas y servicios de extensión llegan a 46 zonas agropecuarias y se entregan</w:t>
            </w:r>
            <w:r w:rsidRPr="00396D70">
              <w:rPr>
                <w:rFonts w:asciiTheme="majorHAnsi" w:hAnsiTheme="majorHAnsi" w:cs="Calibri"/>
                <w:spacing w:val="-5"/>
                <w:sz w:val="16"/>
                <w:szCs w:val="20"/>
                <w:lang w:val="es-CO"/>
              </w:rPr>
              <w:t xml:space="preserve"> </w:t>
            </w:r>
            <w:r w:rsidRPr="00396D70">
              <w:rPr>
                <w:rFonts w:asciiTheme="majorHAnsi" w:hAnsiTheme="majorHAnsi" w:cs="Calibri"/>
                <w:sz w:val="16"/>
                <w:szCs w:val="20"/>
                <w:lang w:val="es-CO"/>
              </w:rPr>
              <w:t>al</w:t>
            </w:r>
            <w:r w:rsidRPr="00396D70">
              <w:rPr>
                <w:rFonts w:asciiTheme="majorHAnsi" w:hAnsiTheme="majorHAnsi" w:cs="Calibri"/>
                <w:spacing w:val="-10"/>
                <w:sz w:val="16"/>
                <w:szCs w:val="20"/>
                <w:lang w:val="es-CO"/>
              </w:rPr>
              <w:t xml:space="preserve"> </w:t>
            </w:r>
            <w:r w:rsidRPr="00396D70">
              <w:rPr>
                <w:rFonts w:asciiTheme="majorHAnsi" w:hAnsiTheme="majorHAnsi" w:cs="Calibri"/>
                <w:sz w:val="16"/>
                <w:szCs w:val="20"/>
                <w:lang w:val="es-CO"/>
              </w:rPr>
              <w:t>Instituto</w:t>
            </w:r>
            <w:r w:rsidRPr="00396D70">
              <w:rPr>
                <w:rFonts w:asciiTheme="majorHAnsi" w:hAnsiTheme="majorHAnsi" w:cs="Calibri"/>
                <w:spacing w:val="-7"/>
                <w:sz w:val="16"/>
                <w:szCs w:val="20"/>
                <w:lang w:val="es-CO"/>
              </w:rPr>
              <w:t xml:space="preserve"> </w:t>
            </w:r>
            <w:r w:rsidRPr="00396D70">
              <w:rPr>
                <w:rFonts w:asciiTheme="majorHAnsi" w:hAnsiTheme="majorHAnsi" w:cs="Calibri"/>
                <w:sz w:val="16"/>
                <w:szCs w:val="20"/>
                <w:lang w:val="es-CO"/>
              </w:rPr>
              <w:t>Colombiano</w:t>
            </w:r>
            <w:r w:rsidRPr="00396D70">
              <w:rPr>
                <w:rFonts w:asciiTheme="majorHAnsi" w:hAnsiTheme="majorHAnsi" w:cs="Calibri"/>
                <w:spacing w:val="-4"/>
                <w:sz w:val="16"/>
                <w:szCs w:val="20"/>
                <w:lang w:val="es-CO"/>
              </w:rPr>
              <w:t xml:space="preserve"> </w:t>
            </w:r>
            <w:r w:rsidRPr="00396D70">
              <w:rPr>
                <w:rFonts w:asciiTheme="majorHAnsi" w:hAnsiTheme="majorHAnsi" w:cs="Calibri"/>
                <w:sz w:val="16"/>
                <w:szCs w:val="20"/>
                <w:lang w:val="es-CO"/>
              </w:rPr>
              <w:t>Agropecuario,</w:t>
            </w:r>
            <w:r w:rsidRPr="00396D70">
              <w:rPr>
                <w:rFonts w:asciiTheme="majorHAnsi" w:hAnsiTheme="majorHAnsi" w:cs="Calibri"/>
                <w:spacing w:val="-8"/>
                <w:sz w:val="16"/>
                <w:szCs w:val="20"/>
                <w:lang w:val="es-CO"/>
              </w:rPr>
              <w:t xml:space="preserve"> </w:t>
            </w:r>
            <w:r w:rsidRPr="00396D70">
              <w:rPr>
                <w:rFonts w:asciiTheme="majorHAnsi" w:hAnsiTheme="majorHAnsi" w:cs="Calibri"/>
                <w:sz w:val="16"/>
                <w:szCs w:val="20"/>
                <w:lang w:val="es-CO"/>
              </w:rPr>
              <w:t>ICA.</w:t>
            </w:r>
            <w:r w:rsidRPr="00396D70">
              <w:rPr>
                <w:rFonts w:asciiTheme="majorHAnsi" w:hAnsiTheme="majorHAnsi" w:cs="Calibri"/>
                <w:spacing w:val="-6"/>
                <w:sz w:val="16"/>
                <w:szCs w:val="20"/>
                <w:lang w:val="es-CO"/>
              </w:rPr>
              <w:t xml:space="preserve"> </w:t>
            </w:r>
            <w:r w:rsidRPr="00396D70">
              <w:rPr>
                <w:rFonts w:asciiTheme="majorHAnsi" w:hAnsiTheme="majorHAnsi" w:cs="Calibri"/>
                <w:sz w:val="16"/>
                <w:szCs w:val="20"/>
                <w:lang w:val="es-CO"/>
              </w:rPr>
              <w:t>En</w:t>
            </w:r>
            <w:r w:rsidRPr="00396D70">
              <w:rPr>
                <w:rFonts w:asciiTheme="majorHAnsi" w:hAnsiTheme="majorHAnsi" w:cs="Calibri"/>
                <w:spacing w:val="-5"/>
                <w:sz w:val="16"/>
                <w:szCs w:val="20"/>
                <w:lang w:val="es-CO"/>
              </w:rPr>
              <w:t xml:space="preserve"> </w:t>
            </w:r>
            <w:r w:rsidRPr="00396D70">
              <w:rPr>
                <w:rFonts w:asciiTheme="majorHAnsi" w:hAnsiTheme="majorHAnsi" w:cs="Calibri"/>
                <w:sz w:val="16"/>
                <w:szCs w:val="20"/>
                <w:lang w:val="es-CO"/>
              </w:rPr>
              <w:t>la</w:t>
            </w:r>
            <w:r w:rsidRPr="00396D70">
              <w:rPr>
                <w:rFonts w:asciiTheme="majorHAnsi" w:hAnsiTheme="majorHAnsi" w:cs="Calibri"/>
                <w:spacing w:val="-5"/>
                <w:sz w:val="16"/>
                <w:szCs w:val="20"/>
                <w:lang w:val="es-CO"/>
              </w:rPr>
              <w:t xml:space="preserve"> </w:t>
            </w:r>
            <w:r w:rsidRPr="00396D70">
              <w:rPr>
                <w:rFonts w:asciiTheme="majorHAnsi" w:hAnsiTheme="majorHAnsi" w:cs="Calibri"/>
                <w:sz w:val="16"/>
                <w:szCs w:val="20"/>
                <w:lang w:val="es-CO"/>
              </w:rPr>
              <w:t>década</w:t>
            </w:r>
            <w:r w:rsidRPr="00396D70">
              <w:rPr>
                <w:rFonts w:asciiTheme="majorHAnsi" w:hAnsiTheme="majorHAnsi" w:cs="Calibri"/>
                <w:spacing w:val="-5"/>
                <w:sz w:val="16"/>
                <w:szCs w:val="20"/>
                <w:lang w:val="es-CO"/>
              </w:rPr>
              <w:t xml:space="preserve"> </w:t>
            </w:r>
            <w:r w:rsidRPr="00396D70">
              <w:rPr>
                <w:rFonts w:asciiTheme="majorHAnsi" w:hAnsiTheme="majorHAnsi" w:cs="Calibri"/>
                <w:sz w:val="16"/>
                <w:szCs w:val="20"/>
                <w:lang w:val="es-CO"/>
              </w:rPr>
              <w:t>de</w:t>
            </w:r>
            <w:r w:rsidRPr="00396D70">
              <w:rPr>
                <w:rFonts w:asciiTheme="majorHAnsi" w:hAnsiTheme="majorHAnsi" w:cs="Calibri"/>
                <w:spacing w:val="-6"/>
                <w:sz w:val="16"/>
                <w:szCs w:val="20"/>
                <w:lang w:val="es-CO"/>
              </w:rPr>
              <w:t xml:space="preserve"> </w:t>
            </w:r>
            <w:r w:rsidRPr="00396D70">
              <w:rPr>
                <w:rFonts w:asciiTheme="majorHAnsi" w:hAnsiTheme="majorHAnsi" w:cs="Calibri"/>
                <w:sz w:val="16"/>
                <w:szCs w:val="20"/>
                <w:lang w:val="es-CO"/>
              </w:rPr>
              <w:t>los</w:t>
            </w:r>
            <w:r w:rsidRPr="00396D70">
              <w:rPr>
                <w:rFonts w:asciiTheme="majorHAnsi" w:hAnsiTheme="majorHAnsi" w:cs="Calibri"/>
                <w:spacing w:val="-9"/>
                <w:sz w:val="16"/>
                <w:szCs w:val="20"/>
                <w:lang w:val="es-CO"/>
              </w:rPr>
              <w:t xml:space="preserve"> </w:t>
            </w:r>
            <w:r w:rsidRPr="00396D70">
              <w:rPr>
                <w:rFonts w:asciiTheme="majorHAnsi" w:hAnsiTheme="majorHAnsi" w:cs="Calibri"/>
                <w:sz w:val="16"/>
                <w:szCs w:val="20"/>
                <w:lang w:val="es-CO"/>
              </w:rPr>
              <w:t>60</w:t>
            </w:r>
            <w:r w:rsidRPr="00396D70">
              <w:rPr>
                <w:rFonts w:asciiTheme="majorHAnsi" w:hAnsiTheme="majorHAnsi" w:cs="Calibri"/>
                <w:spacing w:val="-7"/>
                <w:sz w:val="16"/>
                <w:szCs w:val="20"/>
                <w:lang w:val="es-CO"/>
              </w:rPr>
              <w:t xml:space="preserve"> </w:t>
            </w:r>
            <w:r w:rsidRPr="00396D70">
              <w:rPr>
                <w:rFonts w:asciiTheme="majorHAnsi" w:hAnsiTheme="majorHAnsi" w:cs="Calibri"/>
                <w:sz w:val="16"/>
                <w:szCs w:val="20"/>
                <w:lang w:val="es-CO"/>
              </w:rPr>
              <w:t>la extensión hizo parte también de los programas de Reforma Agraria del</w:t>
            </w:r>
            <w:r w:rsidRPr="00396D70">
              <w:rPr>
                <w:rFonts w:asciiTheme="majorHAnsi" w:hAnsiTheme="majorHAnsi" w:cs="Calibri"/>
                <w:spacing w:val="-31"/>
                <w:sz w:val="16"/>
                <w:szCs w:val="20"/>
                <w:lang w:val="es-CO"/>
              </w:rPr>
              <w:t xml:space="preserve"> </w:t>
            </w:r>
            <w:r w:rsidR="00AD6941" w:rsidRPr="00396D70">
              <w:rPr>
                <w:rFonts w:asciiTheme="majorHAnsi" w:hAnsiTheme="majorHAnsi" w:cs="Calibri"/>
                <w:spacing w:val="-31"/>
                <w:sz w:val="16"/>
                <w:szCs w:val="20"/>
                <w:lang w:val="es-CO"/>
              </w:rPr>
              <w:t xml:space="preserve"> </w:t>
            </w:r>
            <w:r w:rsidRPr="00396D70">
              <w:rPr>
                <w:rFonts w:asciiTheme="majorHAnsi" w:hAnsiTheme="majorHAnsi" w:cs="Calibri"/>
                <w:sz w:val="16"/>
                <w:szCs w:val="20"/>
                <w:lang w:val="es-CO"/>
              </w:rPr>
              <w:t>INCORA</w:t>
            </w:r>
          </w:p>
        </w:tc>
      </w:tr>
      <w:tr w:rsidR="0062434F" w:rsidRPr="00396D70" w14:paraId="4D2459A6" w14:textId="77777777" w:rsidTr="006024D9">
        <w:trPr>
          <w:trHeight w:val="20"/>
        </w:trPr>
        <w:tc>
          <w:tcPr>
            <w:tcW w:w="479" w:type="pct"/>
            <w:vMerge w:val="restart"/>
            <w:shd w:val="clear" w:color="auto" w:fill="9CC2E5" w:themeFill="accent5" w:themeFillTint="99"/>
            <w:vAlign w:val="center"/>
          </w:tcPr>
          <w:p w14:paraId="51EA8C4E" w14:textId="77777777" w:rsidR="0062434F" w:rsidRPr="00396D70" w:rsidRDefault="0062434F" w:rsidP="00AE5F60">
            <w:pPr>
              <w:pStyle w:val="TableParagraph"/>
              <w:ind w:right="49"/>
              <w:jc w:val="center"/>
              <w:rPr>
                <w:rFonts w:asciiTheme="majorHAnsi" w:hAnsiTheme="majorHAnsi" w:cs="Calibri"/>
                <w:b/>
                <w:sz w:val="16"/>
                <w:szCs w:val="20"/>
                <w:lang w:val="es-CO"/>
              </w:rPr>
            </w:pPr>
          </w:p>
          <w:p w14:paraId="2E15807A" w14:textId="77777777" w:rsidR="0062434F" w:rsidRPr="00396D70" w:rsidRDefault="0062434F" w:rsidP="00AE5F60">
            <w:pPr>
              <w:pStyle w:val="TableParagraph"/>
              <w:ind w:right="49"/>
              <w:jc w:val="center"/>
              <w:rPr>
                <w:rFonts w:asciiTheme="majorHAnsi" w:hAnsiTheme="majorHAnsi" w:cs="Calibri"/>
                <w:b/>
                <w:sz w:val="16"/>
                <w:szCs w:val="20"/>
                <w:lang w:val="es-CO"/>
              </w:rPr>
            </w:pPr>
          </w:p>
          <w:p w14:paraId="09EE90A1" w14:textId="77777777" w:rsidR="0062434F" w:rsidRPr="00396D70" w:rsidRDefault="0062434F" w:rsidP="00AE5F60">
            <w:pPr>
              <w:pStyle w:val="TableParagraph"/>
              <w:spacing w:before="132"/>
              <w:ind w:left="103" w:right="49"/>
              <w:jc w:val="center"/>
              <w:rPr>
                <w:rFonts w:asciiTheme="majorHAnsi" w:hAnsiTheme="majorHAnsi" w:cs="Calibri"/>
                <w:b/>
                <w:sz w:val="16"/>
                <w:szCs w:val="20"/>
              </w:rPr>
            </w:pPr>
            <w:r w:rsidRPr="00396D70">
              <w:rPr>
                <w:rFonts w:asciiTheme="majorHAnsi" w:hAnsiTheme="majorHAnsi" w:cs="Calibri"/>
                <w:b/>
                <w:sz w:val="16"/>
                <w:szCs w:val="20"/>
              </w:rPr>
              <w:t>1970</w:t>
            </w:r>
          </w:p>
        </w:tc>
        <w:tc>
          <w:tcPr>
            <w:tcW w:w="4521" w:type="pct"/>
            <w:shd w:val="clear" w:color="auto" w:fill="auto"/>
            <w:vAlign w:val="center"/>
          </w:tcPr>
          <w:p w14:paraId="202F2ED5" w14:textId="77777777" w:rsidR="0062434F" w:rsidRPr="00396D70" w:rsidRDefault="0062434F" w:rsidP="00AD6941">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El</w:t>
            </w:r>
            <w:r w:rsidRPr="00396D70">
              <w:rPr>
                <w:rFonts w:asciiTheme="majorHAnsi" w:hAnsiTheme="majorHAnsi" w:cs="Calibri"/>
                <w:spacing w:val="-11"/>
                <w:sz w:val="16"/>
                <w:szCs w:val="20"/>
                <w:lang w:val="es-CO"/>
              </w:rPr>
              <w:t xml:space="preserve"> </w:t>
            </w:r>
            <w:r w:rsidRPr="00396D70">
              <w:rPr>
                <w:rFonts w:asciiTheme="majorHAnsi" w:hAnsiTheme="majorHAnsi" w:cs="Calibri"/>
                <w:sz w:val="16"/>
                <w:szCs w:val="20"/>
                <w:lang w:val="es-CO"/>
              </w:rPr>
              <w:t>sistema</w:t>
            </w:r>
            <w:r w:rsidRPr="00396D70">
              <w:rPr>
                <w:rFonts w:asciiTheme="majorHAnsi" w:hAnsiTheme="majorHAnsi" w:cs="Calibri"/>
                <w:spacing w:val="-11"/>
                <w:sz w:val="16"/>
                <w:szCs w:val="20"/>
                <w:lang w:val="es-CO"/>
              </w:rPr>
              <w:t xml:space="preserve"> </w:t>
            </w:r>
            <w:r w:rsidRPr="00396D70">
              <w:rPr>
                <w:rFonts w:asciiTheme="majorHAnsi" w:hAnsiTheme="majorHAnsi" w:cs="Calibri"/>
                <w:sz w:val="16"/>
                <w:szCs w:val="20"/>
                <w:lang w:val="es-CO"/>
              </w:rPr>
              <w:t>de</w:t>
            </w:r>
            <w:r w:rsidRPr="00396D70">
              <w:rPr>
                <w:rFonts w:asciiTheme="majorHAnsi" w:hAnsiTheme="majorHAnsi" w:cs="Calibri"/>
                <w:spacing w:val="-14"/>
                <w:sz w:val="16"/>
                <w:szCs w:val="20"/>
                <w:lang w:val="es-CO"/>
              </w:rPr>
              <w:t xml:space="preserve"> </w:t>
            </w:r>
            <w:r w:rsidRPr="00396D70">
              <w:rPr>
                <w:rFonts w:asciiTheme="majorHAnsi" w:hAnsiTheme="majorHAnsi" w:cs="Calibri"/>
                <w:sz w:val="16"/>
                <w:szCs w:val="20"/>
                <w:lang w:val="es-CO"/>
              </w:rPr>
              <w:t>planificación</w:t>
            </w:r>
            <w:r w:rsidRPr="00396D70">
              <w:rPr>
                <w:rFonts w:asciiTheme="majorHAnsi" w:hAnsiTheme="majorHAnsi" w:cs="Calibri"/>
                <w:spacing w:val="33"/>
                <w:sz w:val="16"/>
                <w:szCs w:val="20"/>
                <w:lang w:val="es-CO"/>
              </w:rPr>
              <w:t xml:space="preserve"> </w:t>
            </w:r>
            <w:r w:rsidRPr="00396D70">
              <w:rPr>
                <w:rFonts w:asciiTheme="majorHAnsi" w:hAnsiTheme="majorHAnsi" w:cs="Calibri"/>
                <w:sz w:val="16"/>
                <w:szCs w:val="20"/>
                <w:lang w:val="es-CO"/>
              </w:rPr>
              <w:t>de</w:t>
            </w:r>
            <w:r w:rsidRPr="00396D70">
              <w:rPr>
                <w:rFonts w:asciiTheme="majorHAnsi" w:hAnsiTheme="majorHAnsi" w:cs="Calibri"/>
                <w:spacing w:val="-11"/>
                <w:sz w:val="16"/>
                <w:szCs w:val="20"/>
                <w:lang w:val="es-CO"/>
              </w:rPr>
              <w:t xml:space="preserve"> </w:t>
            </w:r>
            <w:r w:rsidRPr="00396D70">
              <w:rPr>
                <w:rFonts w:asciiTheme="majorHAnsi" w:hAnsiTheme="majorHAnsi" w:cs="Calibri"/>
                <w:sz w:val="16"/>
                <w:szCs w:val="20"/>
                <w:lang w:val="es-CO"/>
              </w:rPr>
              <w:t>la</w:t>
            </w:r>
            <w:r w:rsidRPr="00396D70">
              <w:rPr>
                <w:rFonts w:asciiTheme="majorHAnsi" w:hAnsiTheme="majorHAnsi" w:cs="Calibri"/>
                <w:spacing w:val="-13"/>
                <w:sz w:val="16"/>
                <w:szCs w:val="20"/>
                <w:lang w:val="es-CO"/>
              </w:rPr>
              <w:t xml:space="preserve"> </w:t>
            </w:r>
            <w:r w:rsidRPr="00396D70">
              <w:rPr>
                <w:rFonts w:asciiTheme="majorHAnsi" w:hAnsiTheme="majorHAnsi" w:cs="Calibri"/>
                <w:sz w:val="16"/>
                <w:szCs w:val="20"/>
                <w:lang w:val="es-CO"/>
              </w:rPr>
              <w:t>extensión</w:t>
            </w:r>
            <w:r w:rsidRPr="00396D70">
              <w:rPr>
                <w:rFonts w:asciiTheme="majorHAnsi" w:hAnsiTheme="majorHAnsi" w:cs="Calibri"/>
                <w:spacing w:val="-11"/>
                <w:sz w:val="16"/>
                <w:szCs w:val="20"/>
                <w:lang w:val="es-CO"/>
              </w:rPr>
              <w:t xml:space="preserve"> </w:t>
            </w:r>
            <w:r w:rsidRPr="00396D70">
              <w:rPr>
                <w:rFonts w:asciiTheme="majorHAnsi" w:hAnsiTheme="majorHAnsi" w:cs="Calibri"/>
                <w:sz w:val="16"/>
                <w:szCs w:val="20"/>
                <w:lang w:val="es-CO"/>
              </w:rPr>
              <w:t>se</w:t>
            </w:r>
            <w:r w:rsidRPr="00396D70">
              <w:rPr>
                <w:rFonts w:asciiTheme="majorHAnsi" w:hAnsiTheme="majorHAnsi" w:cs="Calibri"/>
                <w:spacing w:val="-12"/>
                <w:sz w:val="16"/>
                <w:szCs w:val="20"/>
                <w:lang w:val="es-CO"/>
              </w:rPr>
              <w:t xml:space="preserve"> </w:t>
            </w:r>
            <w:r w:rsidRPr="00396D70">
              <w:rPr>
                <w:rFonts w:asciiTheme="majorHAnsi" w:hAnsiTheme="majorHAnsi" w:cs="Calibri"/>
                <w:sz w:val="16"/>
                <w:szCs w:val="20"/>
                <w:lang w:val="es-CO"/>
              </w:rPr>
              <w:t>rediseña</w:t>
            </w:r>
            <w:r w:rsidRPr="00396D70">
              <w:rPr>
                <w:rFonts w:asciiTheme="majorHAnsi" w:hAnsiTheme="majorHAnsi" w:cs="Calibri"/>
                <w:spacing w:val="-11"/>
                <w:sz w:val="16"/>
                <w:szCs w:val="20"/>
                <w:lang w:val="es-CO"/>
              </w:rPr>
              <w:t xml:space="preserve"> </w:t>
            </w:r>
            <w:r w:rsidRPr="00396D70">
              <w:rPr>
                <w:rFonts w:asciiTheme="majorHAnsi" w:hAnsiTheme="majorHAnsi" w:cs="Calibri"/>
                <w:sz w:val="16"/>
                <w:szCs w:val="20"/>
                <w:lang w:val="es-CO"/>
              </w:rPr>
              <w:t>con</w:t>
            </w:r>
            <w:r w:rsidRPr="00396D70">
              <w:rPr>
                <w:rFonts w:asciiTheme="majorHAnsi" w:hAnsiTheme="majorHAnsi" w:cs="Calibri"/>
                <w:spacing w:val="-11"/>
                <w:sz w:val="16"/>
                <w:szCs w:val="20"/>
                <w:lang w:val="es-CO"/>
              </w:rPr>
              <w:t xml:space="preserve"> </w:t>
            </w:r>
            <w:r w:rsidRPr="00396D70">
              <w:rPr>
                <w:rFonts w:asciiTheme="majorHAnsi" w:hAnsiTheme="majorHAnsi" w:cs="Calibri"/>
                <w:sz w:val="16"/>
                <w:szCs w:val="20"/>
                <w:lang w:val="es-CO"/>
              </w:rPr>
              <w:t>un</w:t>
            </w:r>
            <w:r w:rsidRPr="00396D70">
              <w:rPr>
                <w:rFonts w:asciiTheme="majorHAnsi" w:hAnsiTheme="majorHAnsi" w:cs="Calibri"/>
                <w:spacing w:val="-11"/>
                <w:sz w:val="16"/>
                <w:szCs w:val="20"/>
                <w:lang w:val="es-CO"/>
              </w:rPr>
              <w:t xml:space="preserve"> </w:t>
            </w:r>
            <w:r w:rsidRPr="00396D70">
              <w:rPr>
                <w:rFonts w:asciiTheme="majorHAnsi" w:hAnsiTheme="majorHAnsi" w:cs="Calibri"/>
                <w:sz w:val="16"/>
                <w:szCs w:val="20"/>
                <w:lang w:val="es-CO"/>
              </w:rPr>
              <w:t>enfoque</w:t>
            </w:r>
            <w:r w:rsidRPr="00396D70">
              <w:rPr>
                <w:rFonts w:asciiTheme="majorHAnsi" w:hAnsiTheme="majorHAnsi" w:cs="Calibri"/>
                <w:spacing w:val="-12"/>
                <w:sz w:val="16"/>
                <w:szCs w:val="20"/>
                <w:lang w:val="es-CO"/>
              </w:rPr>
              <w:t xml:space="preserve"> </w:t>
            </w:r>
            <w:r w:rsidRPr="00396D70">
              <w:rPr>
                <w:rFonts w:asciiTheme="majorHAnsi" w:hAnsiTheme="majorHAnsi" w:cs="Calibri"/>
                <w:sz w:val="16"/>
                <w:szCs w:val="20"/>
                <w:lang w:val="es-CO"/>
              </w:rPr>
              <w:t>de</w:t>
            </w:r>
            <w:r w:rsidRPr="00396D70">
              <w:rPr>
                <w:rFonts w:asciiTheme="majorHAnsi" w:hAnsiTheme="majorHAnsi" w:cs="Calibri"/>
                <w:spacing w:val="-9"/>
                <w:sz w:val="16"/>
                <w:szCs w:val="20"/>
                <w:lang w:val="es-CO"/>
              </w:rPr>
              <w:t xml:space="preserve"> </w:t>
            </w:r>
            <w:r w:rsidRPr="00396D70">
              <w:rPr>
                <w:rFonts w:asciiTheme="majorHAnsi" w:hAnsiTheme="majorHAnsi" w:cs="Calibri"/>
                <w:sz w:val="16"/>
                <w:szCs w:val="20"/>
                <w:lang w:val="es-CO"/>
              </w:rPr>
              <w:t>abajo hacia arriba</w:t>
            </w:r>
            <w:r w:rsidR="00AD6941" w:rsidRPr="00396D70">
              <w:rPr>
                <w:rFonts w:asciiTheme="majorHAnsi" w:hAnsiTheme="majorHAnsi" w:cs="Calibri"/>
                <w:sz w:val="16"/>
                <w:szCs w:val="20"/>
                <w:lang w:val="es-CO"/>
              </w:rPr>
              <w:t xml:space="preserve"> (</w:t>
            </w:r>
            <w:r w:rsidRPr="00396D70">
              <w:rPr>
                <w:rFonts w:asciiTheme="majorHAnsi" w:hAnsiTheme="majorHAnsi" w:cs="Calibri"/>
                <w:sz w:val="16"/>
                <w:szCs w:val="20"/>
                <w:lang w:val="es-CO"/>
              </w:rPr>
              <w:t>desde lo local a lo nacional</w:t>
            </w:r>
            <w:r w:rsidR="00AD6941" w:rsidRPr="00396D70">
              <w:rPr>
                <w:rFonts w:asciiTheme="majorHAnsi" w:hAnsiTheme="majorHAnsi" w:cs="Calibri"/>
                <w:sz w:val="16"/>
                <w:szCs w:val="20"/>
                <w:lang w:val="es-CO"/>
              </w:rPr>
              <w:t>)</w:t>
            </w:r>
            <w:r w:rsidRPr="00396D70">
              <w:rPr>
                <w:rFonts w:asciiTheme="majorHAnsi" w:hAnsiTheme="majorHAnsi" w:cs="Calibri"/>
                <w:sz w:val="16"/>
                <w:szCs w:val="20"/>
                <w:lang w:val="es-CO"/>
              </w:rPr>
              <w:t>. En este periodo se identificaron dos grandes problemas: 1) la descoordinación entre la investigación y la extensión y 2) las pocas articulaciones entre el ICA y otros agentes del desarrollo</w:t>
            </w:r>
            <w:r w:rsidRPr="00396D70">
              <w:rPr>
                <w:rFonts w:asciiTheme="majorHAnsi" w:hAnsiTheme="majorHAnsi" w:cs="Calibri"/>
                <w:spacing w:val="-34"/>
                <w:sz w:val="16"/>
                <w:szCs w:val="20"/>
                <w:lang w:val="es-CO"/>
              </w:rPr>
              <w:t xml:space="preserve"> </w:t>
            </w:r>
            <w:r w:rsidRPr="00396D70">
              <w:rPr>
                <w:rFonts w:asciiTheme="majorHAnsi" w:hAnsiTheme="majorHAnsi" w:cs="Calibri"/>
                <w:sz w:val="16"/>
                <w:szCs w:val="20"/>
                <w:lang w:val="es-CO"/>
              </w:rPr>
              <w:t>rural.</w:t>
            </w:r>
          </w:p>
        </w:tc>
      </w:tr>
      <w:tr w:rsidR="0062434F" w:rsidRPr="00396D70" w14:paraId="41C308DB" w14:textId="77777777" w:rsidTr="006024D9">
        <w:trPr>
          <w:trHeight w:val="20"/>
        </w:trPr>
        <w:tc>
          <w:tcPr>
            <w:tcW w:w="479" w:type="pct"/>
            <w:vMerge/>
            <w:shd w:val="clear" w:color="auto" w:fill="9CC2E5" w:themeFill="accent5" w:themeFillTint="99"/>
            <w:vAlign w:val="center"/>
          </w:tcPr>
          <w:p w14:paraId="06901EF5" w14:textId="77777777" w:rsidR="0062434F" w:rsidRPr="00396D70" w:rsidRDefault="0062434F" w:rsidP="00AE5F60">
            <w:pPr>
              <w:widowControl w:val="0"/>
              <w:spacing w:after="0" w:line="240" w:lineRule="auto"/>
              <w:ind w:right="49"/>
              <w:jc w:val="center"/>
              <w:rPr>
                <w:rFonts w:asciiTheme="majorHAnsi" w:hAnsiTheme="majorHAnsi" w:cs="Calibri"/>
                <w:sz w:val="16"/>
                <w:szCs w:val="20"/>
              </w:rPr>
            </w:pPr>
          </w:p>
        </w:tc>
        <w:tc>
          <w:tcPr>
            <w:tcW w:w="4521" w:type="pct"/>
            <w:shd w:val="clear" w:color="auto" w:fill="auto"/>
            <w:vAlign w:val="center"/>
          </w:tcPr>
          <w:p w14:paraId="620054D3" w14:textId="77777777" w:rsidR="0062434F" w:rsidRPr="00396D70" w:rsidRDefault="00AD6941" w:rsidP="00AD6941">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Con base en las experiencias del Plan Puebla de México, s</w:t>
            </w:r>
            <w:r w:rsidR="0062434F" w:rsidRPr="00396D70">
              <w:rPr>
                <w:rFonts w:asciiTheme="majorHAnsi" w:hAnsiTheme="majorHAnsi" w:cs="Calibri"/>
                <w:sz w:val="16"/>
                <w:szCs w:val="20"/>
                <w:lang w:val="es-CO"/>
              </w:rPr>
              <w:t>e</w:t>
            </w:r>
            <w:r w:rsidR="0062434F" w:rsidRPr="00396D70">
              <w:rPr>
                <w:rFonts w:asciiTheme="majorHAnsi" w:hAnsiTheme="majorHAnsi" w:cs="Calibri"/>
                <w:spacing w:val="-11"/>
                <w:sz w:val="16"/>
                <w:szCs w:val="20"/>
                <w:lang w:val="es-CO"/>
              </w:rPr>
              <w:t xml:space="preserve"> </w:t>
            </w:r>
            <w:r w:rsidR="0062434F" w:rsidRPr="00396D70">
              <w:rPr>
                <w:rFonts w:asciiTheme="majorHAnsi" w:hAnsiTheme="majorHAnsi" w:cs="Calibri"/>
                <w:sz w:val="16"/>
                <w:szCs w:val="20"/>
                <w:lang w:val="es-CO"/>
              </w:rPr>
              <w:t>diseñan</w:t>
            </w:r>
            <w:r w:rsidR="0062434F" w:rsidRPr="00396D70">
              <w:rPr>
                <w:rFonts w:asciiTheme="majorHAnsi" w:hAnsiTheme="majorHAnsi" w:cs="Calibri"/>
                <w:spacing w:val="-10"/>
                <w:sz w:val="16"/>
                <w:szCs w:val="20"/>
                <w:lang w:val="es-CO"/>
              </w:rPr>
              <w:t xml:space="preserve"> </w:t>
            </w:r>
            <w:r w:rsidR="0062434F" w:rsidRPr="00396D70">
              <w:rPr>
                <w:rFonts w:asciiTheme="majorHAnsi" w:hAnsiTheme="majorHAnsi" w:cs="Calibri"/>
                <w:sz w:val="16"/>
                <w:szCs w:val="20"/>
                <w:lang w:val="es-CO"/>
              </w:rPr>
              <w:t>y</w:t>
            </w:r>
            <w:r w:rsidR="0062434F" w:rsidRPr="00396D70">
              <w:rPr>
                <w:rFonts w:asciiTheme="majorHAnsi" w:hAnsiTheme="majorHAnsi" w:cs="Calibri"/>
                <w:spacing w:val="-12"/>
                <w:sz w:val="16"/>
                <w:szCs w:val="20"/>
                <w:lang w:val="es-CO"/>
              </w:rPr>
              <w:t xml:space="preserve"> </w:t>
            </w:r>
            <w:r w:rsidR="0062434F" w:rsidRPr="00396D70">
              <w:rPr>
                <w:rFonts w:asciiTheme="majorHAnsi" w:hAnsiTheme="majorHAnsi" w:cs="Calibri"/>
                <w:sz w:val="16"/>
                <w:szCs w:val="20"/>
                <w:lang w:val="es-CO"/>
              </w:rPr>
              <w:t>ponen</w:t>
            </w:r>
            <w:r w:rsidR="0062434F" w:rsidRPr="00396D70">
              <w:rPr>
                <w:rFonts w:asciiTheme="majorHAnsi" w:hAnsiTheme="majorHAnsi" w:cs="Calibri"/>
                <w:spacing w:val="-10"/>
                <w:sz w:val="16"/>
                <w:szCs w:val="20"/>
                <w:lang w:val="es-CO"/>
              </w:rPr>
              <w:t xml:space="preserve"> </w:t>
            </w:r>
            <w:r w:rsidR="0062434F" w:rsidRPr="00396D70">
              <w:rPr>
                <w:rFonts w:asciiTheme="majorHAnsi" w:hAnsiTheme="majorHAnsi" w:cs="Calibri"/>
                <w:sz w:val="16"/>
                <w:szCs w:val="20"/>
                <w:lang w:val="es-CO"/>
              </w:rPr>
              <w:t>en</w:t>
            </w:r>
            <w:r w:rsidR="0062434F" w:rsidRPr="00396D70">
              <w:rPr>
                <w:rFonts w:asciiTheme="majorHAnsi" w:hAnsiTheme="majorHAnsi" w:cs="Calibri"/>
                <w:spacing w:val="-10"/>
                <w:sz w:val="16"/>
                <w:szCs w:val="20"/>
                <w:lang w:val="es-CO"/>
              </w:rPr>
              <w:t xml:space="preserve"> </w:t>
            </w:r>
            <w:r w:rsidR="0062434F" w:rsidRPr="00396D70">
              <w:rPr>
                <w:rFonts w:asciiTheme="majorHAnsi" w:hAnsiTheme="majorHAnsi" w:cs="Calibri"/>
                <w:sz w:val="16"/>
                <w:szCs w:val="20"/>
                <w:lang w:val="es-CO"/>
              </w:rPr>
              <w:t>marcha</w:t>
            </w:r>
            <w:r w:rsidR="0062434F" w:rsidRPr="00396D70">
              <w:rPr>
                <w:rFonts w:asciiTheme="majorHAnsi" w:hAnsiTheme="majorHAnsi" w:cs="Calibri"/>
                <w:spacing w:val="-10"/>
                <w:sz w:val="16"/>
                <w:szCs w:val="20"/>
                <w:lang w:val="es-CO"/>
              </w:rPr>
              <w:t xml:space="preserve"> </w:t>
            </w:r>
            <w:r w:rsidR="0062434F" w:rsidRPr="00396D70">
              <w:rPr>
                <w:rFonts w:asciiTheme="majorHAnsi" w:hAnsiTheme="majorHAnsi" w:cs="Calibri"/>
                <w:sz w:val="16"/>
                <w:szCs w:val="20"/>
                <w:lang w:val="es-CO"/>
              </w:rPr>
              <w:t>cinco</w:t>
            </w:r>
            <w:r w:rsidR="0062434F" w:rsidRPr="00396D70">
              <w:rPr>
                <w:rFonts w:asciiTheme="majorHAnsi" w:hAnsiTheme="majorHAnsi" w:cs="Calibri"/>
                <w:spacing w:val="-12"/>
                <w:sz w:val="16"/>
                <w:szCs w:val="20"/>
                <w:lang w:val="es-CO"/>
              </w:rPr>
              <w:t xml:space="preserve"> </w:t>
            </w:r>
            <w:r w:rsidRPr="00396D70">
              <w:rPr>
                <w:rFonts w:asciiTheme="majorHAnsi" w:hAnsiTheme="majorHAnsi" w:cs="Calibri"/>
                <w:sz w:val="16"/>
                <w:szCs w:val="20"/>
                <w:lang w:val="es-CO"/>
              </w:rPr>
              <w:t>p</w:t>
            </w:r>
            <w:r w:rsidR="0062434F" w:rsidRPr="00396D70">
              <w:rPr>
                <w:rFonts w:asciiTheme="majorHAnsi" w:hAnsiTheme="majorHAnsi" w:cs="Calibri"/>
                <w:sz w:val="16"/>
                <w:szCs w:val="20"/>
                <w:lang w:val="es-CO"/>
              </w:rPr>
              <w:t>royectos</w:t>
            </w:r>
            <w:r w:rsidR="0062434F" w:rsidRPr="00396D70">
              <w:rPr>
                <w:rFonts w:asciiTheme="majorHAnsi" w:hAnsiTheme="majorHAnsi" w:cs="Calibri"/>
                <w:spacing w:val="-11"/>
                <w:sz w:val="16"/>
                <w:szCs w:val="20"/>
                <w:lang w:val="es-CO"/>
              </w:rPr>
              <w:t xml:space="preserve"> </w:t>
            </w:r>
            <w:r w:rsidR="0062434F" w:rsidRPr="00396D70">
              <w:rPr>
                <w:rFonts w:asciiTheme="majorHAnsi" w:hAnsiTheme="majorHAnsi" w:cs="Calibri"/>
                <w:sz w:val="16"/>
                <w:szCs w:val="20"/>
                <w:lang w:val="es-CO"/>
              </w:rPr>
              <w:t>de</w:t>
            </w:r>
            <w:r w:rsidR="0062434F" w:rsidRPr="00396D70">
              <w:rPr>
                <w:rFonts w:asciiTheme="majorHAnsi" w:hAnsiTheme="majorHAnsi" w:cs="Calibri"/>
                <w:spacing w:val="-11"/>
                <w:sz w:val="16"/>
                <w:szCs w:val="20"/>
                <w:lang w:val="es-CO"/>
              </w:rPr>
              <w:t xml:space="preserve"> </w:t>
            </w:r>
            <w:r w:rsidRPr="00396D70">
              <w:rPr>
                <w:rFonts w:asciiTheme="majorHAnsi" w:hAnsiTheme="majorHAnsi" w:cs="Calibri"/>
                <w:sz w:val="16"/>
                <w:szCs w:val="20"/>
                <w:lang w:val="es-CO"/>
              </w:rPr>
              <w:t>d</w:t>
            </w:r>
            <w:r w:rsidR="0062434F" w:rsidRPr="00396D70">
              <w:rPr>
                <w:rFonts w:asciiTheme="majorHAnsi" w:hAnsiTheme="majorHAnsi" w:cs="Calibri"/>
                <w:sz w:val="16"/>
                <w:szCs w:val="20"/>
                <w:lang w:val="es-CO"/>
              </w:rPr>
              <w:t>esarrollo</w:t>
            </w:r>
            <w:r w:rsidR="0062434F" w:rsidRPr="00396D70">
              <w:rPr>
                <w:rFonts w:asciiTheme="majorHAnsi" w:hAnsiTheme="majorHAnsi" w:cs="Calibri"/>
                <w:spacing w:val="-9"/>
                <w:sz w:val="16"/>
                <w:szCs w:val="20"/>
                <w:lang w:val="es-CO"/>
              </w:rPr>
              <w:t xml:space="preserve"> </w:t>
            </w:r>
            <w:r w:rsidRPr="00396D70">
              <w:rPr>
                <w:rFonts w:asciiTheme="majorHAnsi" w:hAnsiTheme="majorHAnsi" w:cs="Calibri"/>
                <w:sz w:val="16"/>
                <w:szCs w:val="20"/>
                <w:lang w:val="es-CO"/>
              </w:rPr>
              <w:t>r</w:t>
            </w:r>
            <w:r w:rsidR="0062434F" w:rsidRPr="00396D70">
              <w:rPr>
                <w:rFonts w:asciiTheme="majorHAnsi" w:hAnsiTheme="majorHAnsi" w:cs="Calibri"/>
                <w:sz w:val="16"/>
                <w:szCs w:val="20"/>
                <w:lang w:val="es-CO"/>
              </w:rPr>
              <w:t>ural.</w:t>
            </w:r>
          </w:p>
        </w:tc>
      </w:tr>
      <w:tr w:rsidR="0062434F" w:rsidRPr="00396D70" w14:paraId="18484BAC" w14:textId="77777777" w:rsidTr="006024D9">
        <w:trPr>
          <w:trHeight w:val="20"/>
        </w:trPr>
        <w:tc>
          <w:tcPr>
            <w:tcW w:w="479" w:type="pct"/>
            <w:shd w:val="clear" w:color="auto" w:fill="9CC2E5" w:themeFill="accent5" w:themeFillTint="99"/>
            <w:vAlign w:val="center"/>
          </w:tcPr>
          <w:p w14:paraId="72378A1B" w14:textId="77777777" w:rsidR="0062434F" w:rsidRPr="00396D70" w:rsidRDefault="0062434F" w:rsidP="00AE5F60">
            <w:pPr>
              <w:pStyle w:val="TableParagraph"/>
              <w:spacing w:before="125"/>
              <w:ind w:left="103" w:right="49"/>
              <w:jc w:val="center"/>
              <w:rPr>
                <w:rFonts w:asciiTheme="majorHAnsi" w:hAnsiTheme="majorHAnsi" w:cs="Calibri"/>
                <w:b/>
                <w:sz w:val="16"/>
                <w:szCs w:val="20"/>
              </w:rPr>
            </w:pPr>
            <w:r w:rsidRPr="00396D70">
              <w:rPr>
                <w:rFonts w:asciiTheme="majorHAnsi" w:hAnsiTheme="majorHAnsi" w:cs="Calibri"/>
                <w:b/>
                <w:sz w:val="16"/>
                <w:szCs w:val="20"/>
              </w:rPr>
              <w:t>1972</w:t>
            </w:r>
          </w:p>
        </w:tc>
        <w:tc>
          <w:tcPr>
            <w:tcW w:w="4521" w:type="pct"/>
            <w:shd w:val="clear" w:color="auto" w:fill="auto"/>
            <w:vAlign w:val="center"/>
          </w:tcPr>
          <w:p w14:paraId="57BA11C3" w14:textId="77777777" w:rsidR="0062434F" w:rsidRPr="00396D70" w:rsidRDefault="0062434F" w:rsidP="006D2769">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Promulgación de la Ley 5ta, con énfasis en Asistencia Técnica Privada, ligada al crédito.</w:t>
            </w:r>
          </w:p>
        </w:tc>
      </w:tr>
      <w:tr w:rsidR="0062434F" w:rsidRPr="00396D70" w14:paraId="75728A70" w14:textId="77777777" w:rsidTr="006024D9">
        <w:trPr>
          <w:trHeight w:val="20"/>
        </w:trPr>
        <w:tc>
          <w:tcPr>
            <w:tcW w:w="479" w:type="pct"/>
            <w:shd w:val="clear" w:color="auto" w:fill="9CC2E5" w:themeFill="accent5" w:themeFillTint="99"/>
            <w:vAlign w:val="center"/>
          </w:tcPr>
          <w:p w14:paraId="288BB331" w14:textId="77777777" w:rsidR="0062434F" w:rsidRPr="00396D70" w:rsidRDefault="0062434F" w:rsidP="00AE5F60">
            <w:pPr>
              <w:pStyle w:val="TableParagraph"/>
              <w:spacing w:before="125"/>
              <w:ind w:left="103" w:right="49"/>
              <w:jc w:val="center"/>
              <w:rPr>
                <w:rFonts w:asciiTheme="majorHAnsi" w:hAnsiTheme="majorHAnsi" w:cs="Calibri"/>
                <w:b/>
                <w:sz w:val="16"/>
                <w:szCs w:val="20"/>
              </w:rPr>
            </w:pPr>
            <w:r w:rsidRPr="00396D70">
              <w:rPr>
                <w:rFonts w:asciiTheme="majorHAnsi" w:hAnsiTheme="majorHAnsi" w:cs="Calibri"/>
                <w:b/>
                <w:sz w:val="16"/>
                <w:szCs w:val="20"/>
              </w:rPr>
              <w:t>1976</w:t>
            </w:r>
          </w:p>
        </w:tc>
        <w:tc>
          <w:tcPr>
            <w:tcW w:w="4521" w:type="pct"/>
            <w:shd w:val="clear" w:color="auto" w:fill="auto"/>
            <w:vAlign w:val="center"/>
          </w:tcPr>
          <w:p w14:paraId="12663100" w14:textId="77777777" w:rsidR="0062434F" w:rsidRPr="00396D70" w:rsidRDefault="0062434F" w:rsidP="006D2769">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 xml:space="preserve">Inicia el Programa de Desarrollo Rural Integrado </w:t>
            </w:r>
            <w:r w:rsidR="00AD6941" w:rsidRPr="00396D70">
              <w:rPr>
                <w:rFonts w:asciiTheme="majorHAnsi" w:hAnsiTheme="majorHAnsi" w:cs="Calibri"/>
                <w:sz w:val="16"/>
                <w:szCs w:val="20"/>
                <w:lang w:val="es-CO"/>
              </w:rPr>
              <w:t>(</w:t>
            </w:r>
            <w:r w:rsidRPr="00396D70">
              <w:rPr>
                <w:rFonts w:asciiTheme="majorHAnsi" w:hAnsiTheme="majorHAnsi" w:cs="Calibri"/>
                <w:sz w:val="16"/>
                <w:szCs w:val="20"/>
                <w:lang w:val="es-CO"/>
              </w:rPr>
              <w:t>DRI</w:t>
            </w:r>
            <w:r w:rsidR="00AD6941" w:rsidRPr="00396D70">
              <w:rPr>
                <w:rFonts w:asciiTheme="majorHAnsi" w:hAnsiTheme="majorHAnsi" w:cs="Calibri"/>
                <w:sz w:val="16"/>
                <w:szCs w:val="20"/>
                <w:lang w:val="es-CO"/>
              </w:rPr>
              <w:t>)</w:t>
            </w:r>
            <w:r w:rsidRPr="00396D70">
              <w:rPr>
                <w:rFonts w:asciiTheme="majorHAnsi" w:hAnsiTheme="majorHAnsi" w:cs="Calibri"/>
                <w:sz w:val="16"/>
                <w:szCs w:val="20"/>
                <w:lang w:val="es-CO"/>
              </w:rPr>
              <w:t xml:space="preserve"> el cual tenía componentes de ATA.</w:t>
            </w:r>
          </w:p>
        </w:tc>
      </w:tr>
      <w:tr w:rsidR="0062434F" w:rsidRPr="00396D70" w14:paraId="68FF98D2" w14:textId="77777777" w:rsidTr="006024D9">
        <w:trPr>
          <w:trHeight w:val="20"/>
        </w:trPr>
        <w:tc>
          <w:tcPr>
            <w:tcW w:w="479" w:type="pct"/>
            <w:shd w:val="clear" w:color="auto" w:fill="9CC2E5" w:themeFill="accent5" w:themeFillTint="99"/>
            <w:vAlign w:val="center"/>
          </w:tcPr>
          <w:p w14:paraId="4635E8CB" w14:textId="77777777" w:rsidR="0062434F" w:rsidRPr="00396D70" w:rsidRDefault="0062434F" w:rsidP="00AE5F60">
            <w:pPr>
              <w:pStyle w:val="TableParagraph"/>
              <w:spacing w:before="3"/>
              <w:ind w:left="103" w:right="49"/>
              <w:jc w:val="center"/>
              <w:rPr>
                <w:rFonts w:asciiTheme="majorHAnsi" w:hAnsiTheme="majorHAnsi" w:cs="Calibri"/>
                <w:b/>
                <w:sz w:val="16"/>
                <w:szCs w:val="20"/>
              </w:rPr>
            </w:pPr>
            <w:r w:rsidRPr="00396D70">
              <w:rPr>
                <w:rFonts w:asciiTheme="majorHAnsi" w:hAnsiTheme="majorHAnsi" w:cs="Calibri"/>
                <w:b/>
                <w:sz w:val="16"/>
                <w:szCs w:val="20"/>
              </w:rPr>
              <w:t>1980</w:t>
            </w:r>
          </w:p>
        </w:tc>
        <w:tc>
          <w:tcPr>
            <w:tcW w:w="4521" w:type="pct"/>
            <w:shd w:val="clear" w:color="auto" w:fill="auto"/>
            <w:vAlign w:val="center"/>
          </w:tcPr>
          <w:p w14:paraId="1D308233" w14:textId="77777777" w:rsidR="0062434F" w:rsidRPr="00396D70" w:rsidRDefault="0062434F" w:rsidP="006D2769">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Se establecen servicios de extensión en la Caja Agraria y el SENA.</w:t>
            </w:r>
          </w:p>
        </w:tc>
      </w:tr>
      <w:tr w:rsidR="0062434F" w:rsidRPr="00396D70" w14:paraId="1C2F6013" w14:textId="77777777" w:rsidTr="006024D9">
        <w:trPr>
          <w:trHeight w:val="20"/>
        </w:trPr>
        <w:tc>
          <w:tcPr>
            <w:tcW w:w="479" w:type="pct"/>
            <w:shd w:val="clear" w:color="auto" w:fill="9CC2E5" w:themeFill="accent5" w:themeFillTint="99"/>
            <w:vAlign w:val="center"/>
          </w:tcPr>
          <w:p w14:paraId="30969645" w14:textId="77777777" w:rsidR="0062434F" w:rsidRPr="00396D70" w:rsidRDefault="0062434F" w:rsidP="00AE5F60">
            <w:pPr>
              <w:pStyle w:val="TableParagraph"/>
              <w:spacing w:before="125"/>
              <w:ind w:left="103" w:right="49"/>
              <w:jc w:val="center"/>
              <w:rPr>
                <w:rFonts w:asciiTheme="majorHAnsi" w:hAnsiTheme="majorHAnsi" w:cs="Calibri"/>
                <w:b/>
                <w:sz w:val="16"/>
                <w:szCs w:val="20"/>
              </w:rPr>
            </w:pPr>
            <w:r w:rsidRPr="00396D70">
              <w:rPr>
                <w:rFonts w:asciiTheme="majorHAnsi" w:hAnsiTheme="majorHAnsi" w:cs="Calibri"/>
                <w:b/>
                <w:sz w:val="16"/>
                <w:szCs w:val="20"/>
              </w:rPr>
              <w:t>1987</w:t>
            </w:r>
          </w:p>
        </w:tc>
        <w:tc>
          <w:tcPr>
            <w:tcW w:w="4521" w:type="pct"/>
            <w:shd w:val="clear" w:color="auto" w:fill="auto"/>
            <w:vAlign w:val="center"/>
          </w:tcPr>
          <w:p w14:paraId="1C0F90B6" w14:textId="77777777" w:rsidR="0062434F" w:rsidRPr="00396D70" w:rsidRDefault="00AD6941" w:rsidP="00AD6941">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Mediante el Decreto Ley 077 s</w:t>
            </w:r>
            <w:r w:rsidR="0062434F" w:rsidRPr="00396D70">
              <w:rPr>
                <w:rFonts w:asciiTheme="majorHAnsi" w:hAnsiTheme="majorHAnsi" w:cs="Calibri"/>
                <w:sz w:val="16"/>
                <w:szCs w:val="20"/>
                <w:lang w:val="es-CO"/>
              </w:rPr>
              <w:t xml:space="preserve">e crean las Unidades Municipales de Asistencia Técnica </w:t>
            </w:r>
            <w:r w:rsidRPr="00396D70">
              <w:rPr>
                <w:rFonts w:asciiTheme="majorHAnsi" w:hAnsiTheme="majorHAnsi" w:cs="Calibri"/>
                <w:sz w:val="16"/>
                <w:szCs w:val="20"/>
                <w:lang w:val="es-CO"/>
              </w:rPr>
              <w:t>(</w:t>
            </w:r>
            <w:r w:rsidR="0062434F" w:rsidRPr="00396D70">
              <w:rPr>
                <w:rFonts w:asciiTheme="majorHAnsi" w:hAnsiTheme="majorHAnsi" w:cs="Calibri"/>
                <w:sz w:val="16"/>
                <w:szCs w:val="20"/>
                <w:lang w:val="es-CO"/>
              </w:rPr>
              <w:t>UMATA</w:t>
            </w:r>
            <w:r w:rsidRPr="00396D70">
              <w:rPr>
                <w:rFonts w:asciiTheme="majorHAnsi" w:hAnsiTheme="majorHAnsi" w:cs="Calibri"/>
                <w:sz w:val="16"/>
                <w:szCs w:val="20"/>
                <w:lang w:val="es-CO"/>
              </w:rPr>
              <w:t>).</w:t>
            </w:r>
          </w:p>
        </w:tc>
      </w:tr>
      <w:tr w:rsidR="0062434F" w:rsidRPr="00396D70" w14:paraId="24551EBC" w14:textId="77777777" w:rsidTr="006024D9">
        <w:trPr>
          <w:trHeight w:val="20"/>
        </w:trPr>
        <w:tc>
          <w:tcPr>
            <w:tcW w:w="479" w:type="pct"/>
            <w:shd w:val="clear" w:color="auto" w:fill="9CC2E5" w:themeFill="accent5" w:themeFillTint="99"/>
            <w:vAlign w:val="center"/>
          </w:tcPr>
          <w:p w14:paraId="7A4E6865" w14:textId="77777777" w:rsidR="0062434F" w:rsidRPr="00396D70" w:rsidRDefault="0062434F" w:rsidP="00AE5F60">
            <w:pPr>
              <w:pStyle w:val="TableParagraph"/>
              <w:spacing w:before="126"/>
              <w:ind w:left="103" w:right="49"/>
              <w:jc w:val="center"/>
              <w:rPr>
                <w:rFonts w:asciiTheme="majorHAnsi" w:hAnsiTheme="majorHAnsi" w:cs="Calibri"/>
                <w:b/>
                <w:sz w:val="16"/>
                <w:szCs w:val="20"/>
              </w:rPr>
            </w:pPr>
            <w:r w:rsidRPr="00396D70">
              <w:rPr>
                <w:rFonts w:asciiTheme="majorHAnsi" w:hAnsiTheme="majorHAnsi" w:cs="Calibri"/>
                <w:b/>
                <w:sz w:val="16"/>
                <w:szCs w:val="20"/>
              </w:rPr>
              <w:t>1989</w:t>
            </w:r>
          </w:p>
        </w:tc>
        <w:tc>
          <w:tcPr>
            <w:tcW w:w="4521" w:type="pct"/>
            <w:shd w:val="clear" w:color="auto" w:fill="auto"/>
            <w:vAlign w:val="center"/>
          </w:tcPr>
          <w:p w14:paraId="2D07EE7E" w14:textId="77777777" w:rsidR="0062434F" w:rsidRPr="00396D70" w:rsidRDefault="00AD6941" w:rsidP="00AD6941">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Por medio del Decreto</w:t>
            </w:r>
            <w:r w:rsidR="0062434F" w:rsidRPr="00396D70">
              <w:rPr>
                <w:rFonts w:asciiTheme="majorHAnsi" w:hAnsiTheme="majorHAnsi" w:cs="Calibri"/>
                <w:sz w:val="16"/>
                <w:szCs w:val="20"/>
                <w:lang w:val="es-CO"/>
              </w:rPr>
              <w:t xml:space="preserve"> 1946 </w:t>
            </w:r>
            <w:r w:rsidRPr="00396D70">
              <w:rPr>
                <w:rFonts w:asciiTheme="majorHAnsi" w:hAnsiTheme="majorHAnsi" w:cs="Calibri"/>
                <w:sz w:val="16"/>
                <w:szCs w:val="20"/>
                <w:lang w:val="es-CO"/>
              </w:rPr>
              <w:t xml:space="preserve">se crea </w:t>
            </w:r>
            <w:r w:rsidR="0062434F" w:rsidRPr="00396D70">
              <w:rPr>
                <w:rFonts w:asciiTheme="majorHAnsi" w:hAnsiTheme="majorHAnsi" w:cs="Calibri"/>
                <w:sz w:val="16"/>
                <w:szCs w:val="20"/>
                <w:lang w:val="es-CO"/>
              </w:rPr>
              <w:t xml:space="preserve">el Sistema Nacional de Transferencia de Tecnología Agropecuaria </w:t>
            </w:r>
            <w:r w:rsidRPr="00396D70">
              <w:rPr>
                <w:rFonts w:asciiTheme="majorHAnsi" w:hAnsiTheme="majorHAnsi" w:cs="Calibri"/>
                <w:sz w:val="16"/>
                <w:szCs w:val="20"/>
                <w:lang w:val="es-CO"/>
              </w:rPr>
              <w:t>(</w:t>
            </w:r>
            <w:r w:rsidR="0062434F" w:rsidRPr="00396D70">
              <w:rPr>
                <w:rFonts w:asciiTheme="majorHAnsi" w:hAnsiTheme="majorHAnsi" w:cs="Calibri"/>
                <w:sz w:val="16"/>
                <w:szCs w:val="20"/>
                <w:lang w:val="es-CO"/>
              </w:rPr>
              <w:t>SINTAP</w:t>
            </w:r>
            <w:r w:rsidRPr="00396D70">
              <w:rPr>
                <w:rFonts w:asciiTheme="majorHAnsi" w:hAnsiTheme="majorHAnsi" w:cs="Calibri"/>
                <w:sz w:val="16"/>
                <w:szCs w:val="20"/>
                <w:lang w:val="es-CO"/>
              </w:rPr>
              <w:t>)</w:t>
            </w:r>
            <w:r w:rsidR="0062434F" w:rsidRPr="00396D70">
              <w:rPr>
                <w:rFonts w:asciiTheme="majorHAnsi" w:hAnsiTheme="majorHAnsi" w:cs="Calibri"/>
                <w:sz w:val="16"/>
                <w:szCs w:val="20"/>
                <w:lang w:val="es-CO"/>
              </w:rPr>
              <w:t xml:space="preserve"> con eje en el ICA y con financiación a través del Fondo DRI. En la concepción general del SINTAP se tienen en cuenta las articulaciones con otros actores públicos y privados que proveen servicios tecnológicos: investigación, transferencia, asistencia técnica, información, capacitación, entre otros.</w:t>
            </w:r>
          </w:p>
        </w:tc>
      </w:tr>
      <w:tr w:rsidR="0062434F" w:rsidRPr="00396D70" w14:paraId="1BE1E8A6" w14:textId="77777777" w:rsidTr="006024D9">
        <w:trPr>
          <w:trHeight w:val="20"/>
        </w:trPr>
        <w:tc>
          <w:tcPr>
            <w:tcW w:w="479" w:type="pct"/>
            <w:shd w:val="clear" w:color="auto" w:fill="9CC2E5" w:themeFill="accent5" w:themeFillTint="99"/>
            <w:vAlign w:val="center"/>
          </w:tcPr>
          <w:p w14:paraId="7088C64B" w14:textId="77777777" w:rsidR="0062434F" w:rsidRPr="00396D70" w:rsidRDefault="0062434F" w:rsidP="00AE5F60">
            <w:pPr>
              <w:pStyle w:val="TableParagraph"/>
              <w:spacing w:before="127"/>
              <w:ind w:left="103" w:right="49"/>
              <w:jc w:val="center"/>
              <w:rPr>
                <w:rFonts w:asciiTheme="majorHAnsi" w:hAnsiTheme="majorHAnsi" w:cs="Calibri"/>
                <w:b/>
                <w:sz w:val="16"/>
                <w:szCs w:val="20"/>
              </w:rPr>
            </w:pPr>
            <w:r w:rsidRPr="00396D70">
              <w:rPr>
                <w:rFonts w:asciiTheme="majorHAnsi" w:hAnsiTheme="majorHAnsi" w:cs="Calibri"/>
                <w:b/>
                <w:sz w:val="16"/>
                <w:szCs w:val="20"/>
              </w:rPr>
              <w:t>1991</w:t>
            </w:r>
          </w:p>
        </w:tc>
        <w:tc>
          <w:tcPr>
            <w:tcW w:w="4521" w:type="pct"/>
            <w:shd w:val="clear" w:color="auto" w:fill="auto"/>
            <w:vAlign w:val="center"/>
          </w:tcPr>
          <w:p w14:paraId="4A2C2DB2" w14:textId="77777777" w:rsidR="0062434F" w:rsidRPr="00396D70" w:rsidRDefault="0062434F" w:rsidP="006D2769">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La Constitución Nacional en su Artículo 64º establece como obligación del Estado promover el acceso a la asistencia técnica.</w:t>
            </w:r>
          </w:p>
        </w:tc>
      </w:tr>
      <w:tr w:rsidR="0062434F" w:rsidRPr="00396D70" w14:paraId="39047E04" w14:textId="77777777" w:rsidTr="006024D9">
        <w:trPr>
          <w:trHeight w:val="20"/>
        </w:trPr>
        <w:tc>
          <w:tcPr>
            <w:tcW w:w="479" w:type="pct"/>
            <w:shd w:val="clear" w:color="auto" w:fill="9CC2E5" w:themeFill="accent5" w:themeFillTint="99"/>
            <w:vAlign w:val="center"/>
          </w:tcPr>
          <w:p w14:paraId="44A6D9C2" w14:textId="77777777" w:rsidR="0062434F" w:rsidRPr="00396D70" w:rsidRDefault="0062434F" w:rsidP="00AE5F60">
            <w:pPr>
              <w:pStyle w:val="TableParagraph"/>
              <w:ind w:right="49"/>
              <w:jc w:val="center"/>
              <w:rPr>
                <w:rFonts w:asciiTheme="majorHAnsi" w:hAnsiTheme="majorHAnsi" w:cs="Calibri"/>
                <w:b/>
                <w:sz w:val="16"/>
                <w:szCs w:val="20"/>
                <w:lang w:val="es-CO"/>
              </w:rPr>
            </w:pPr>
          </w:p>
          <w:p w14:paraId="4FFCBCD2" w14:textId="77777777" w:rsidR="0062434F" w:rsidRPr="00396D70" w:rsidRDefault="0062434F" w:rsidP="00AE5F60">
            <w:pPr>
              <w:pStyle w:val="TableParagraph"/>
              <w:spacing w:before="2"/>
              <w:ind w:right="49"/>
              <w:jc w:val="center"/>
              <w:rPr>
                <w:rFonts w:asciiTheme="majorHAnsi" w:hAnsiTheme="majorHAnsi" w:cs="Calibri"/>
                <w:b/>
                <w:sz w:val="16"/>
                <w:szCs w:val="20"/>
                <w:lang w:val="es-CO"/>
              </w:rPr>
            </w:pPr>
          </w:p>
          <w:p w14:paraId="2DE499DC" w14:textId="77777777" w:rsidR="0062434F" w:rsidRPr="00396D70" w:rsidRDefault="0062434F" w:rsidP="00AE5F60">
            <w:pPr>
              <w:pStyle w:val="TableParagraph"/>
              <w:ind w:left="103" w:right="49"/>
              <w:jc w:val="center"/>
              <w:rPr>
                <w:rFonts w:asciiTheme="majorHAnsi" w:hAnsiTheme="majorHAnsi" w:cs="Calibri"/>
                <w:b/>
                <w:sz w:val="16"/>
                <w:szCs w:val="20"/>
              </w:rPr>
            </w:pPr>
            <w:r w:rsidRPr="00396D70">
              <w:rPr>
                <w:rFonts w:asciiTheme="majorHAnsi" w:hAnsiTheme="majorHAnsi" w:cs="Calibri"/>
                <w:b/>
                <w:sz w:val="16"/>
                <w:szCs w:val="20"/>
              </w:rPr>
              <w:t>1994</w:t>
            </w:r>
          </w:p>
        </w:tc>
        <w:tc>
          <w:tcPr>
            <w:tcW w:w="4521" w:type="pct"/>
            <w:shd w:val="clear" w:color="auto" w:fill="auto"/>
            <w:vAlign w:val="center"/>
          </w:tcPr>
          <w:p w14:paraId="35EF5108" w14:textId="77777777" w:rsidR="0062434F" w:rsidRPr="00396D70" w:rsidRDefault="0062434F" w:rsidP="003508B7">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Inicia en el ICA la operación del PRONATTA con recursos del presupuesto nacional. En 1995 pasa a ser un Programa especial del Ministerio de Agricultura y Desarrollo Rural</w:t>
            </w:r>
            <w:r w:rsidR="003508B7" w:rsidRPr="00396D70">
              <w:rPr>
                <w:rFonts w:asciiTheme="majorHAnsi" w:hAnsiTheme="majorHAnsi" w:cs="Calibri"/>
                <w:sz w:val="16"/>
                <w:szCs w:val="20"/>
                <w:lang w:val="es-CO"/>
              </w:rPr>
              <w:t xml:space="preserve"> y se constituye </w:t>
            </w:r>
            <w:r w:rsidRPr="00396D70">
              <w:rPr>
                <w:rFonts w:asciiTheme="majorHAnsi" w:hAnsiTheme="majorHAnsi" w:cs="Calibri"/>
                <w:sz w:val="16"/>
                <w:szCs w:val="20"/>
                <w:lang w:val="es-CO"/>
              </w:rPr>
              <w:t>en un Fondo Competitivo de cofinanciación para mejorar la oferta y uso de tecnologías adecuadas a las necesidades de la pequeña producción rural.</w:t>
            </w:r>
          </w:p>
        </w:tc>
      </w:tr>
      <w:tr w:rsidR="0062434F" w:rsidRPr="00396D70" w14:paraId="42A644ED" w14:textId="77777777" w:rsidTr="006024D9">
        <w:trPr>
          <w:trHeight w:val="714"/>
        </w:trPr>
        <w:tc>
          <w:tcPr>
            <w:tcW w:w="479" w:type="pct"/>
            <w:shd w:val="clear" w:color="auto" w:fill="9CC2E5" w:themeFill="accent5" w:themeFillTint="99"/>
            <w:vAlign w:val="center"/>
          </w:tcPr>
          <w:p w14:paraId="732D4067" w14:textId="77777777" w:rsidR="0062434F" w:rsidRPr="00396D70" w:rsidRDefault="0062434F" w:rsidP="00AE5F60">
            <w:pPr>
              <w:pStyle w:val="TableParagraph"/>
              <w:spacing w:before="126"/>
              <w:ind w:left="103" w:right="49"/>
              <w:jc w:val="center"/>
              <w:rPr>
                <w:rFonts w:asciiTheme="majorHAnsi" w:hAnsiTheme="majorHAnsi" w:cs="Calibri"/>
                <w:b/>
                <w:sz w:val="16"/>
                <w:szCs w:val="20"/>
              </w:rPr>
            </w:pPr>
            <w:r w:rsidRPr="00396D70">
              <w:rPr>
                <w:rFonts w:asciiTheme="majorHAnsi" w:hAnsiTheme="majorHAnsi" w:cs="Calibri"/>
                <w:b/>
                <w:sz w:val="16"/>
                <w:szCs w:val="20"/>
              </w:rPr>
              <w:t>2000</w:t>
            </w:r>
          </w:p>
        </w:tc>
        <w:tc>
          <w:tcPr>
            <w:tcW w:w="4521" w:type="pct"/>
            <w:shd w:val="clear" w:color="auto" w:fill="auto"/>
            <w:vAlign w:val="center"/>
          </w:tcPr>
          <w:p w14:paraId="2A0CA86E" w14:textId="77777777" w:rsidR="0062434F" w:rsidRPr="00396D70" w:rsidRDefault="0062434F" w:rsidP="003508B7">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Se aprueba la Ley 607 que modifica la normatividad para las UMATA y se reglamenta la Asistencia Técnica Directa Rural. E</w:t>
            </w:r>
            <w:r w:rsidR="003508B7" w:rsidRPr="00396D70">
              <w:rPr>
                <w:rFonts w:asciiTheme="majorHAnsi" w:hAnsiTheme="majorHAnsi" w:cs="Calibri"/>
                <w:sz w:val="16"/>
                <w:szCs w:val="20"/>
                <w:lang w:val="es-CO"/>
              </w:rPr>
              <w:t>l artículo quinto de esta Ley crea el</w:t>
            </w:r>
            <w:r w:rsidRPr="00396D70">
              <w:rPr>
                <w:rFonts w:asciiTheme="majorHAnsi" w:hAnsiTheme="majorHAnsi" w:cs="Calibri"/>
                <w:sz w:val="16"/>
                <w:szCs w:val="20"/>
                <w:lang w:val="es-CO"/>
              </w:rPr>
              <w:t xml:space="preserve"> subsistema de asistencia técnica rural</w:t>
            </w:r>
            <w:r w:rsidR="003508B7" w:rsidRPr="00396D70">
              <w:rPr>
                <w:rFonts w:asciiTheme="majorHAnsi" w:hAnsiTheme="majorHAnsi" w:cs="Calibri"/>
                <w:sz w:val="16"/>
                <w:szCs w:val="20"/>
                <w:lang w:val="es-CO"/>
              </w:rPr>
              <w:t>,</w:t>
            </w:r>
            <w:r w:rsidRPr="00396D70">
              <w:rPr>
                <w:rFonts w:asciiTheme="majorHAnsi" w:hAnsiTheme="majorHAnsi" w:cs="Calibri"/>
                <w:sz w:val="16"/>
                <w:szCs w:val="20"/>
                <w:lang w:val="es-CO"/>
              </w:rPr>
              <w:t xml:space="preserve"> el cual debe estar en consonancia con el Sistema Nacional de Ciencia y Tecnología Agroindustrial</w:t>
            </w:r>
            <w:r w:rsidR="003508B7" w:rsidRPr="00396D70">
              <w:rPr>
                <w:rFonts w:asciiTheme="majorHAnsi" w:hAnsiTheme="majorHAnsi" w:cs="Calibri"/>
                <w:sz w:val="16"/>
                <w:szCs w:val="20"/>
                <w:lang w:val="es-CO"/>
              </w:rPr>
              <w:t>. Con esta Ley desaparece el</w:t>
            </w:r>
            <w:r w:rsidRPr="00396D70">
              <w:rPr>
                <w:rFonts w:asciiTheme="majorHAnsi" w:hAnsiTheme="majorHAnsi" w:cs="Calibri"/>
                <w:sz w:val="16"/>
                <w:szCs w:val="20"/>
                <w:lang w:val="es-CO"/>
              </w:rPr>
              <w:t xml:space="preserve"> SINTAP</w:t>
            </w:r>
            <w:r w:rsidR="003508B7" w:rsidRPr="00396D70">
              <w:rPr>
                <w:rFonts w:asciiTheme="majorHAnsi" w:hAnsiTheme="majorHAnsi" w:cs="Calibri"/>
                <w:sz w:val="16"/>
                <w:szCs w:val="20"/>
                <w:lang w:val="es-CO"/>
              </w:rPr>
              <w:t xml:space="preserve"> y las responsabilidades de la asistencia técnica agropecuaria se asignan a </w:t>
            </w:r>
            <w:r w:rsidRPr="00396D70">
              <w:rPr>
                <w:rFonts w:asciiTheme="majorHAnsi" w:hAnsiTheme="majorHAnsi" w:cs="Calibri"/>
                <w:sz w:val="16"/>
                <w:szCs w:val="20"/>
                <w:lang w:val="es-CO"/>
              </w:rPr>
              <w:t>nivel municipal, departamental y nacional para la prestación de estos servicios.</w:t>
            </w:r>
          </w:p>
        </w:tc>
      </w:tr>
      <w:tr w:rsidR="0062434F" w:rsidRPr="00396D70" w14:paraId="396FEF80" w14:textId="77777777" w:rsidTr="006024D9">
        <w:trPr>
          <w:trHeight w:val="20"/>
        </w:trPr>
        <w:tc>
          <w:tcPr>
            <w:tcW w:w="479" w:type="pct"/>
            <w:shd w:val="clear" w:color="auto" w:fill="9CC2E5" w:themeFill="accent5" w:themeFillTint="99"/>
            <w:vAlign w:val="center"/>
          </w:tcPr>
          <w:p w14:paraId="77563821" w14:textId="77777777" w:rsidR="0062434F" w:rsidRPr="00396D70" w:rsidRDefault="0062434F" w:rsidP="00AE5F60">
            <w:pPr>
              <w:pStyle w:val="TableParagraph"/>
              <w:ind w:left="103" w:right="49"/>
              <w:jc w:val="center"/>
              <w:rPr>
                <w:rFonts w:asciiTheme="majorHAnsi" w:hAnsiTheme="majorHAnsi" w:cs="Calibri"/>
                <w:b/>
                <w:sz w:val="16"/>
                <w:szCs w:val="20"/>
              </w:rPr>
            </w:pPr>
            <w:r w:rsidRPr="00396D70">
              <w:rPr>
                <w:rFonts w:asciiTheme="majorHAnsi" w:hAnsiTheme="majorHAnsi" w:cs="Calibri"/>
                <w:b/>
                <w:sz w:val="16"/>
                <w:szCs w:val="20"/>
              </w:rPr>
              <w:t>2002</w:t>
            </w:r>
          </w:p>
        </w:tc>
        <w:tc>
          <w:tcPr>
            <w:tcW w:w="4521" w:type="pct"/>
            <w:shd w:val="clear" w:color="auto" w:fill="auto"/>
            <w:vAlign w:val="center"/>
          </w:tcPr>
          <w:p w14:paraId="41B4355C" w14:textId="77777777" w:rsidR="0062434F" w:rsidRPr="00396D70" w:rsidRDefault="0062434F" w:rsidP="006D2769">
            <w:pPr>
              <w:pStyle w:val="TableParagraph"/>
              <w:spacing w:before="5"/>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Con el decreto 2980 de 2004 se crean los Centros Provinciales de Gestión Agroempresarial (CPGA) y las Empresas Prestadoras de los Servicios de Asistencia Técnica (EPSAGRO).</w:t>
            </w:r>
          </w:p>
        </w:tc>
      </w:tr>
      <w:tr w:rsidR="0062434F" w:rsidRPr="00396D70" w14:paraId="4A08AEFF" w14:textId="77777777" w:rsidTr="006024D9">
        <w:trPr>
          <w:trHeight w:val="20"/>
        </w:trPr>
        <w:tc>
          <w:tcPr>
            <w:tcW w:w="479" w:type="pct"/>
            <w:shd w:val="clear" w:color="auto" w:fill="9CC2E5" w:themeFill="accent5" w:themeFillTint="99"/>
            <w:vAlign w:val="center"/>
          </w:tcPr>
          <w:p w14:paraId="44734814" w14:textId="77777777" w:rsidR="0062434F" w:rsidRPr="00396D70" w:rsidRDefault="0062434F" w:rsidP="00AE5F60">
            <w:pPr>
              <w:pStyle w:val="TableParagraph"/>
              <w:spacing w:before="128" w:line="245" w:lineRule="exact"/>
              <w:ind w:left="103" w:right="49"/>
              <w:jc w:val="center"/>
              <w:rPr>
                <w:rFonts w:asciiTheme="majorHAnsi" w:hAnsiTheme="majorHAnsi" w:cs="Calibri"/>
                <w:b/>
                <w:sz w:val="16"/>
                <w:szCs w:val="20"/>
              </w:rPr>
            </w:pPr>
            <w:r w:rsidRPr="00396D70">
              <w:rPr>
                <w:rFonts w:asciiTheme="majorHAnsi" w:hAnsiTheme="majorHAnsi" w:cs="Calibri"/>
                <w:b/>
                <w:sz w:val="16"/>
                <w:szCs w:val="20"/>
              </w:rPr>
              <w:t>2004-</w:t>
            </w:r>
          </w:p>
          <w:p w14:paraId="15A10754" w14:textId="77777777" w:rsidR="0062434F" w:rsidRPr="00396D70" w:rsidRDefault="0062434F" w:rsidP="00AE5F60">
            <w:pPr>
              <w:pStyle w:val="TableParagraph"/>
              <w:spacing w:line="245" w:lineRule="exact"/>
              <w:ind w:left="103" w:right="49"/>
              <w:jc w:val="center"/>
              <w:rPr>
                <w:rFonts w:asciiTheme="majorHAnsi" w:hAnsiTheme="majorHAnsi" w:cs="Calibri"/>
                <w:b/>
                <w:sz w:val="16"/>
                <w:szCs w:val="20"/>
              </w:rPr>
            </w:pPr>
            <w:r w:rsidRPr="00396D70">
              <w:rPr>
                <w:rFonts w:asciiTheme="majorHAnsi" w:hAnsiTheme="majorHAnsi" w:cs="Calibri"/>
                <w:b/>
                <w:sz w:val="16"/>
                <w:szCs w:val="20"/>
              </w:rPr>
              <w:t>2009</w:t>
            </w:r>
          </w:p>
        </w:tc>
        <w:tc>
          <w:tcPr>
            <w:tcW w:w="4521" w:type="pct"/>
            <w:shd w:val="clear" w:color="auto" w:fill="auto"/>
            <w:vAlign w:val="center"/>
          </w:tcPr>
          <w:p w14:paraId="5DA2CFBF" w14:textId="77777777" w:rsidR="0062434F" w:rsidRPr="00396D70" w:rsidRDefault="0062434F" w:rsidP="006D2769">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Se incluye a la ATA en varios documentos de política pública: Conpes 3297 de 2004</w:t>
            </w:r>
            <w:r w:rsidR="003508B7" w:rsidRPr="00396D70">
              <w:rPr>
                <w:rFonts w:asciiTheme="majorHAnsi" w:hAnsiTheme="majorHAnsi" w:cs="Calibri"/>
                <w:sz w:val="16"/>
                <w:szCs w:val="20"/>
                <w:lang w:val="es-CO"/>
              </w:rPr>
              <w:t xml:space="preserve"> – “</w:t>
            </w:r>
            <w:r w:rsidRPr="00396D70">
              <w:rPr>
                <w:rFonts w:asciiTheme="majorHAnsi" w:hAnsiTheme="majorHAnsi" w:cs="Calibri"/>
                <w:sz w:val="16"/>
                <w:szCs w:val="20"/>
                <w:lang w:val="es-CO"/>
              </w:rPr>
              <w:t xml:space="preserve">Agenda </w:t>
            </w:r>
            <w:r w:rsidR="003508B7" w:rsidRPr="00396D70">
              <w:rPr>
                <w:rFonts w:asciiTheme="majorHAnsi" w:hAnsiTheme="majorHAnsi" w:cs="Calibri"/>
                <w:sz w:val="16"/>
                <w:szCs w:val="20"/>
                <w:lang w:val="es-CO"/>
              </w:rPr>
              <w:t>i</w:t>
            </w:r>
            <w:r w:rsidRPr="00396D70">
              <w:rPr>
                <w:rFonts w:asciiTheme="majorHAnsi" w:hAnsiTheme="majorHAnsi" w:cs="Calibri"/>
                <w:sz w:val="16"/>
                <w:szCs w:val="20"/>
                <w:lang w:val="es-CO"/>
              </w:rPr>
              <w:t xml:space="preserve">nterna para la </w:t>
            </w:r>
            <w:r w:rsidR="003508B7" w:rsidRPr="00396D70">
              <w:rPr>
                <w:rFonts w:asciiTheme="majorHAnsi" w:hAnsiTheme="majorHAnsi" w:cs="Calibri"/>
                <w:sz w:val="16"/>
                <w:szCs w:val="20"/>
                <w:lang w:val="es-CO"/>
              </w:rPr>
              <w:t>p</w:t>
            </w:r>
            <w:r w:rsidRPr="00396D70">
              <w:rPr>
                <w:rFonts w:asciiTheme="majorHAnsi" w:hAnsiTheme="majorHAnsi" w:cs="Calibri"/>
                <w:sz w:val="16"/>
                <w:szCs w:val="20"/>
                <w:lang w:val="es-CO"/>
              </w:rPr>
              <w:t xml:space="preserve">roductividad y </w:t>
            </w:r>
            <w:r w:rsidR="003508B7" w:rsidRPr="00396D70">
              <w:rPr>
                <w:rFonts w:asciiTheme="majorHAnsi" w:hAnsiTheme="majorHAnsi" w:cs="Calibri"/>
                <w:sz w:val="16"/>
                <w:szCs w:val="20"/>
                <w:lang w:val="es-CO"/>
              </w:rPr>
              <w:t>c</w:t>
            </w:r>
            <w:r w:rsidRPr="00396D70">
              <w:rPr>
                <w:rFonts w:asciiTheme="majorHAnsi" w:hAnsiTheme="majorHAnsi" w:cs="Calibri"/>
                <w:sz w:val="16"/>
                <w:szCs w:val="20"/>
                <w:lang w:val="es-CO"/>
              </w:rPr>
              <w:t>ompetitividad</w:t>
            </w:r>
            <w:r w:rsidR="003508B7" w:rsidRPr="00396D70">
              <w:rPr>
                <w:rFonts w:asciiTheme="majorHAnsi" w:hAnsiTheme="majorHAnsi" w:cs="Calibri"/>
                <w:sz w:val="16"/>
                <w:szCs w:val="20"/>
                <w:lang w:val="es-CO"/>
              </w:rPr>
              <w:t>”</w:t>
            </w:r>
            <w:r w:rsidRPr="00396D70">
              <w:rPr>
                <w:rFonts w:asciiTheme="majorHAnsi" w:hAnsiTheme="majorHAnsi" w:cs="Calibri"/>
                <w:sz w:val="16"/>
                <w:szCs w:val="20"/>
                <w:lang w:val="es-CO"/>
              </w:rPr>
              <w:t>; Conpes 3882 de 2009</w:t>
            </w:r>
            <w:r w:rsidR="003508B7" w:rsidRPr="00396D70">
              <w:rPr>
                <w:rFonts w:asciiTheme="majorHAnsi" w:hAnsiTheme="majorHAnsi" w:cs="Calibri"/>
                <w:sz w:val="16"/>
                <w:szCs w:val="20"/>
                <w:lang w:val="es-CO"/>
              </w:rPr>
              <w:t xml:space="preserve"> – “</w:t>
            </w:r>
            <w:r w:rsidRPr="00396D70">
              <w:rPr>
                <w:rFonts w:asciiTheme="majorHAnsi" w:hAnsiTheme="majorHAnsi" w:cs="Calibri"/>
                <w:sz w:val="16"/>
                <w:szCs w:val="20"/>
                <w:lang w:val="es-CO"/>
              </w:rPr>
              <w:t>Política Nacional de Ciencia, Tecnología e Innovación</w:t>
            </w:r>
            <w:r w:rsidR="003508B7" w:rsidRPr="00396D70">
              <w:rPr>
                <w:rFonts w:asciiTheme="majorHAnsi" w:hAnsiTheme="majorHAnsi" w:cs="Calibri"/>
                <w:sz w:val="16"/>
                <w:szCs w:val="20"/>
                <w:lang w:val="es-CO"/>
              </w:rPr>
              <w:t>”</w:t>
            </w:r>
            <w:r w:rsidRPr="00396D70">
              <w:rPr>
                <w:rFonts w:asciiTheme="majorHAnsi" w:hAnsiTheme="majorHAnsi" w:cs="Calibri"/>
                <w:sz w:val="16"/>
                <w:szCs w:val="20"/>
                <w:lang w:val="es-CO"/>
              </w:rPr>
              <w:t>; Conpes 3616 de 2009</w:t>
            </w:r>
            <w:r w:rsidR="003508B7" w:rsidRPr="00396D70">
              <w:rPr>
                <w:rFonts w:asciiTheme="majorHAnsi" w:hAnsiTheme="majorHAnsi" w:cs="Calibri"/>
                <w:sz w:val="16"/>
                <w:szCs w:val="20"/>
                <w:lang w:val="es-CO"/>
              </w:rPr>
              <w:t xml:space="preserve"> </w:t>
            </w:r>
            <w:r w:rsidRPr="00396D70">
              <w:rPr>
                <w:rFonts w:asciiTheme="majorHAnsi" w:hAnsiTheme="majorHAnsi" w:cs="Calibri"/>
                <w:sz w:val="16"/>
                <w:szCs w:val="20"/>
                <w:lang w:val="es-CO"/>
              </w:rPr>
              <w:t>-</w:t>
            </w:r>
            <w:r w:rsidRPr="00396D70">
              <w:rPr>
                <w:rFonts w:asciiTheme="majorHAnsi" w:hAnsiTheme="majorHAnsi" w:cs="Calibri"/>
                <w:spacing w:val="40"/>
                <w:sz w:val="16"/>
                <w:szCs w:val="20"/>
                <w:lang w:val="es-CO"/>
              </w:rPr>
              <w:t xml:space="preserve"> </w:t>
            </w:r>
            <w:r w:rsidRPr="00396D70">
              <w:rPr>
                <w:rFonts w:asciiTheme="majorHAnsi" w:hAnsiTheme="majorHAnsi" w:cs="Calibri"/>
                <w:sz w:val="16"/>
                <w:szCs w:val="20"/>
                <w:lang w:val="es-CO"/>
              </w:rPr>
              <w:t>“Lineamientos</w:t>
            </w:r>
            <w:r w:rsidRPr="00396D70">
              <w:rPr>
                <w:rFonts w:asciiTheme="majorHAnsi" w:hAnsiTheme="majorHAnsi" w:cs="Calibri"/>
                <w:spacing w:val="-9"/>
                <w:sz w:val="16"/>
                <w:szCs w:val="20"/>
                <w:lang w:val="es-CO"/>
              </w:rPr>
              <w:t xml:space="preserve"> </w:t>
            </w:r>
            <w:r w:rsidRPr="00396D70">
              <w:rPr>
                <w:rFonts w:asciiTheme="majorHAnsi" w:hAnsiTheme="majorHAnsi" w:cs="Calibri"/>
                <w:sz w:val="16"/>
                <w:szCs w:val="20"/>
                <w:lang w:val="es-CO"/>
              </w:rPr>
              <w:t>de</w:t>
            </w:r>
            <w:r w:rsidRPr="00396D70">
              <w:rPr>
                <w:rFonts w:asciiTheme="majorHAnsi" w:hAnsiTheme="majorHAnsi" w:cs="Calibri"/>
                <w:spacing w:val="-8"/>
                <w:sz w:val="16"/>
                <w:szCs w:val="20"/>
                <w:lang w:val="es-CO"/>
              </w:rPr>
              <w:t xml:space="preserve"> </w:t>
            </w:r>
            <w:r w:rsidRPr="00396D70">
              <w:rPr>
                <w:rFonts w:asciiTheme="majorHAnsi" w:hAnsiTheme="majorHAnsi" w:cs="Calibri"/>
                <w:sz w:val="16"/>
                <w:szCs w:val="20"/>
                <w:lang w:val="es-CO"/>
              </w:rPr>
              <w:t>la</w:t>
            </w:r>
            <w:r w:rsidRPr="00396D70">
              <w:rPr>
                <w:rFonts w:asciiTheme="majorHAnsi" w:hAnsiTheme="majorHAnsi" w:cs="Calibri"/>
                <w:spacing w:val="-8"/>
                <w:sz w:val="16"/>
                <w:szCs w:val="20"/>
                <w:lang w:val="es-CO"/>
              </w:rPr>
              <w:t xml:space="preserve"> </w:t>
            </w:r>
            <w:r w:rsidRPr="00396D70">
              <w:rPr>
                <w:rFonts w:asciiTheme="majorHAnsi" w:hAnsiTheme="majorHAnsi" w:cs="Calibri"/>
                <w:sz w:val="16"/>
                <w:szCs w:val="20"/>
                <w:lang w:val="es-CO"/>
              </w:rPr>
              <w:t>Política</w:t>
            </w:r>
            <w:r w:rsidRPr="00396D70">
              <w:rPr>
                <w:rFonts w:asciiTheme="majorHAnsi" w:hAnsiTheme="majorHAnsi" w:cs="Calibri"/>
                <w:spacing w:val="-10"/>
                <w:sz w:val="16"/>
                <w:szCs w:val="20"/>
                <w:lang w:val="es-CO"/>
              </w:rPr>
              <w:t xml:space="preserve"> </w:t>
            </w:r>
            <w:r w:rsidRPr="00396D70">
              <w:rPr>
                <w:rFonts w:asciiTheme="majorHAnsi" w:hAnsiTheme="majorHAnsi" w:cs="Calibri"/>
                <w:sz w:val="16"/>
                <w:szCs w:val="20"/>
                <w:lang w:val="es-CO"/>
              </w:rPr>
              <w:t>de</w:t>
            </w:r>
            <w:r w:rsidRPr="00396D70">
              <w:rPr>
                <w:rFonts w:asciiTheme="majorHAnsi" w:hAnsiTheme="majorHAnsi" w:cs="Calibri"/>
                <w:spacing w:val="-8"/>
                <w:sz w:val="16"/>
                <w:szCs w:val="20"/>
                <w:lang w:val="es-CO"/>
              </w:rPr>
              <w:t xml:space="preserve"> </w:t>
            </w:r>
            <w:r w:rsidRPr="00396D70">
              <w:rPr>
                <w:rFonts w:asciiTheme="majorHAnsi" w:hAnsiTheme="majorHAnsi" w:cs="Calibri"/>
                <w:sz w:val="16"/>
                <w:szCs w:val="20"/>
                <w:lang w:val="es-CO"/>
              </w:rPr>
              <w:t>Generación</w:t>
            </w:r>
            <w:r w:rsidRPr="00396D70">
              <w:rPr>
                <w:rFonts w:asciiTheme="majorHAnsi" w:hAnsiTheme="majorHAnsi" w:cs="Calibri"/>
                <w:spacing w:val="-8"/>
                <w:sz w:val="16"/>
                <w:szCs w:val="20"/>
                <w:lang w:val="es-CO"/>
              </w:rPr>
              <w:t xml:space="preserve"> </w:t>
            </w:r>
            <w:r w:rsidRPr="00396D70">
              <w:rPr>
                <w:rFonts w:asciiTheme="majorHAnsi" w:hAnsiTheme="majorHAnsi" w:cs="Calibri"/>
                <w:sz w:val="16"/>
                <w:szCs w:val="20"/>
                <w:lang w:val="es-CO"/>
              </w:rPr>
              <w:t>de</w:t>
            </w:r>
            <w:r w:rsidRPr="00396D70">
              <w:rPr>
                <w:rFonts w:asciiTheme="majorHAnsi" w:hAnsiTheme="majorHAnsi" w:cs="Calibri"/>
                <w:spacing w:val="-10"/>
                <w:sz w:val="16"/>
                <w:szCs w:val="20"/>
                <w:lang w:val="es-CO"/>
              </w:rPr>
              <w:t xml:space="preserve"> </w:t>
            </w:r>
            <w:r w:rsidRPr="00396D70">
              <w:rPr>
                <w:rFonts w:asciiTheme="majorHAnsi" w:hAnsiTheme="majorHAnsi" w:cs="Calibri"/>
                <w:sz w:val="16"/>
                <w:szCs w:val="20"/>
                <w:lang w:val="es-CO"/>
              </w:rPr>
              <w:t>Ingresos</w:t>
            </w:r>
            <w:r w:rsidRPr="00396D70">
              <w:rPr>
                <w:rFonts w:asciiTheme="majorHAnsi" w:hAnsiTheme="majorHAnsi" w:cs="Calibri"/>
                <w:spacing w:val="-9"/>
                <w:sz w:val="16"/>
                <w:szCs w:val="20"/>
                <w:lang w:val="es-CO"/>
              </w:rPr>
              <w:t xml:space="preserve"> </w:t>
            </w:r>
            <w:r w:rsidRPr="00396D70">
              <w:rPr>
                <w:rFonts w:asciiTheme="majorHAnsi" w:hAnsiTheme="majorHAnsi" w:cs="Calibri"/>
                <w:sz w:val="16"/>
                <w:szCs w:val="20"/>
                <w:lang w:val="es-CO"/>
              </w:rPr>
              <w:t>para</w:t>
            </w:r>
            <w:r w:rsidRPr="00396D70">
              <w:rPr>
                <w:rFonts w:asciiTheme="majorHAnsi" w:hAnsiTheme="majorHAnsi" w:cs="Calibri"/>
                <w:spacing w:val="-8"/>
                <w:sz w:val="16"/>
                <w:szCs w:val="20"/>
                <w:lang w:val="es-CO"/>
              </w:rPr>
              <w:t xml:space="preserve"> </w:t>
            </w:r>
            <w:r w:rsidRPr="00396D70">
              <w:rPr>
                <w:rFonts w:asciiTheme="majorHAnsi" w:hAnsiTheme="majorHAnsi" w:cs="Calibri"/>
                <w:sz w:val="16"/>
                <w:szCs w:val="20"/>
                <w:lang w:val="es-CO"/>
              </w:rPr>
              <w:t>la</w:t>
            </w:r>
            <w:r w:rsidRPr="00396D70">
              <w:rPr>
                <w:rFonts w:asciiTheme="majorHAnsi" w:hAnsiTheme="majorHAnsi" w:cs="Calibri"/>
                <w:spacing w:val="-8"/>
                <w:sz w:val="16"/>
                <w:szCs w:val="20"/>
                <w:lang w:val="es-CO"/>
              </w:rPr>
              <w:t xml:space="preserve"> </w:t>
            </w:r>
            <w:r w:rsidRPr="00396D70">
              <w:rPr>
                <w:rFonts w:asciiTheme="majorHAnsi" w:hAnsiTheme="majorHAnsi" w:cs="Calibri"/>
                <w:sz w:val="16"/>
                <w:szCs w:val="20"/>
                <w:lang w:val="es-CO"/>
              </w:rPr>
              <w:t>población en situación de pobreza extrema y/o</w:t>
            </w:r>
            <w:r w:rsidRPr="00396D70">
              <w:rPr>
                <w:rFonts w:asciiTheme="majorHAnsi" w:hAnsiTheme="majorHAnsi" w:cs="Calibri"/>
                <w:spacing w:val="-20"/>
                <w:sz w:val="16"/>
                <w:szCs w:val="20"/>
                <w:lang w:val="es-CO"/>
              </w:rPr>
              <w:t xml:space="preserve"> </w:t>
            </w:r>
            <w:r w:rsidRPr="00396D70">
              <w:rPr>
                <w:rFonts w:asciiTheme="majorHAnsi" w:hAnsiTheme="majorHAnsi" w:cs="Calibri"/>
                <w:sz w:val="16"/>
                <w:szCs w:val="20"/>
                <w:lang w:val="es-CO"/>
              </w:rPr>
              <w:t>desplazamiento</w:t>
            </w:r>
            <w:r w:rsidR="003508B7" w:rsidRPr="00396D70">
              <w:rPr>
                <w:rFonts w:asciiTheme="majorHAnsi" w:hAnsiTheme="majorHAnsi" w:cs="Calibri"/>
                <w:sz w:val="16"/>
                <w:szCs w:val="20"/>
                <w:lang w:val="es-CO"/>
              </w:rPr>
              <w:t>”</w:t>
            </w:r>
            <w:r w:rsidRPr="00396D70">
              <w:rPr>
                <w:rFonts w:asciiTheme="majorHAnsi" w:hAnsiTheme="majorHAnsi" w:cs="Calibri"/>
                <w:sz w:val="16"/>
                <w:szCs w:val="20"/>
                <w:lang w:val="es-CO"/>
              </w:rPr>
              <w:t>.</w:t>
            </w:r>
          </w:p>
        </w:tc>
      </w:tr>
      <w:tr w:rsidR="0062434F" w:rsidRPr="00396D70" w14:paraId="34BB803D" w14:textId="77777777" w:rsidTr="006024D9">
        <w:trPr>
          <w:trHeight w:val="20"/>
        </w:trPr>
        <w:tc>
          <w:tcPr>
            <w:tcW w:w="479" w:type="pct"/>
            <w:shd w:val="clear" w:color="auto" w:fill="9CC2E5" w:themeFill="accent5" w:themeFillTint="99"/>
            <w:vAlign w:val="center"/>
          </w:tcPr>
          <w:p w14:paraId="4A2E59F5" w14:textId="77777777" w:rsidR="0062434F" w:rsidRPr="00396D70" w:rsidRDefault="0062434F" w:rsidP="00AE5F60">
            <w:pPr>
              <w:pStyle w:val="TableParagraph"/>
              <w:spacing w:before="125"/>
              <w:ind w:left="103" w:right="49"/>
              <w:jc w:val="center"/>
              <w:rPr>
                <w:rFonts w:asciiTheme="majorHAnsi" w:hAnsiTheme="majorHAnsi" w:cs="Calibri"/>
                <w:b/>
                <w:sz w:val="16"/>
                <w:szCs w:val="20"/>
              </w:rPr>
            </w:pPr>
            <w:r w:rsidRPr="00396D70">
              <w:rPr>
                <w:rFonts w:asciiTheme="majorHAnsi" w:hAnsiTheme="majorHAnsi" w:cs="Calibri"/>
                <w:b/>
                <w:sz w:val="16"/>
                <w:szCs w:val="20"/>
              </w:rPr>
              <w:t>2007</w:t>
            </w:r>
          </w:p>
        </w:tc>
        <w:tc>
          <w:tcPr>
            <w:tcW w:w="4521" w:type="pct"/>
            <w:shd w:val="clear" w:color="auto" w:fill="auto"/>
            <w:vAlign w:val="center"/>
          </w:tcPr>
          <w:p w14:paraId="6F3DE65D" w14:textId="77777777" w:rsidR="0062434F" w:rsidRPr="00396D70" w:rsidRDefault="003508B7" w:rsidP="003508B7">
            <w:pPr>
              <w:pStyle w:val="TableParagraph"/>
              <w:spacing w:before="3"/>
              <w:ind w:left="101" w:right="49"/>
              <w:jc w:val="both"/>
              <w:rPr>
                <w:rFonts w:asciiTheme="majorHAnsi" w:hAnsiTheme="majorHAnsi" w:cs="Calibri"/>
                <w:sz w:val="16"/>
                <w:szCs w:val="20"/>
                <w:lang w:val="es-ES_tradnl"/>
              </w:rPr>
            </w:pPr>
            <w:r w:rsidRPr="00396D70">
              <w:rPr>
                <w:rFonts w:asciiTheme="majorHAnsi" w:hAnsiTheme="majorHAnsi" w:cs="Calibri"/>
                <w:sz w:val="16"/>
                <w:szCs w:val="20"/>
                <w:lang w:val="es-CO"/>
              </w:rPr>
              <w:t>Con la ley 1133 s</w:t>
            </w:r>
            <w:r w:rsidR="0062434F" w:rsidRPr="00396D70">
              <w:rPr>
                <w:rFonts w:asciiTheme="majorHAnsi" w:hAnsiTheme="majorHAnsi" w:cs="Calibri"/>
                <w:sz w:val="16"/>
                <w:szCs w:val="20"/>
                <w:lang w:val="es-CO"/>
              </w:rPr>
              <w:t xml:space="preserve">e crea el Programa Agro Ingreso Seguro </w:t>
            </w:r>
            <w:r w:rsidRPr="00396D70">
              <w:rPr>
                <w:rFonts w:asciiTheme="majorHAnsi" w:hAnsiTheme="majorHAnsi" w:cs="Calibri"/>
                <w:sz w:val="16"/>
                <w:szCs w:val="20"/>
                <w:lang w:val="es-CO"/>
              </w:rPr>
              <w:t>(</w:t>
            </w:r>
            <w:r w:rsidR="0062434F" w:rsidRPr="00396D70">
              <w:rPr>
                <w:rFonts w:asciiTheme="majorHAnsi" w:hAnsiTheme="majorHAnsi" w:cs="Calibri"/>
                <w:sz w:val="16"/>
                <w:szCs w:val="20"/>
                <w:lang w:val="es-CO"/>
              </w:rPr>
              <w:t>AIS</w:t>
            </w:r>
            <w:r w:rsidRPr="00396D70">
              <w:rPr>
                <w:rFonts w:asciiTheme="majorHAnsi" w:hAnsiTheme="majorHAnsi" w:cs="Calibri"/>
                <w:sz w:val="16"/>
                <w:szCs w:val="20"/>
                <w:lang w:val="es-CO"/>
              </w:rPr>
              <w:t xml:space="preserve"> </w:t>
            </w:r>
            <w:r w:rsidR="0062434F" w:rsidRPr="00396D70">
              <w:rPr>
                <w:rFonts w:asciiTheme="majorHAnsi" w:hAnsiTheme="majorHAnsi" w:cs="Calibri"/>
                <w:sz w:val="16"/>
                <w:szCs w:val="20"/>
                <w:lang w:val="es-CO"/>
              </w:rPr>
              <w:t>y se crean apoyos e incentivos para la productividad</w:t>
            </w:r>
            <w:r w:rsidRPr="00396D70">
              <w:rPr>
                <w:rFonts w:asciiTheme="majorHAnsi" w:hAnsiTheme="majorHAnsi" w:cs="Calibri"/>
                <w:sz w:val="16"/>
                <w:szCs w:val="20"/>
                <w:lang w:val="es-CO"/>
              </w:rPr>
              <w:t xml:space="preserve"> en donde la ATA es uno de sus componentes.</w:t>
            </w:r>
          </w:p>
        </w:tc>
      </w:tr>
      <w:tr w:rsidR="0062434F" w:rsidRPr="00396D70" w14:paraId="5D032984" w14:textId="77777777" w:rsidTr="006024D9">
        <w:trPr>
          <w:trHeight w:val="20"/>
        </w:trPr>
        <w:tc>
          <w:tcPr>
            <w:tcW w:w="479" w:type="pct"/>
            <w:shd w:val="clear" w:color="auto" w:fill="9CC2E5" w:themeFill="accent5" w:themeFillTint="99"/>
            <w:vAlign w:val="center"/>
          </w:tcPr>
          <w:p w14:paraId="183360C8" w14:textId="77777777" w:rsidR="0062434F" w:rsidRPr="00396D70" w:rsidRDefault="0062434F" w:rsidP="00AE5F60">
            <w:pPr>
              <w:pStyle w:val="TableParagraph"/>
              <w:spacing w:before="125"/>
              <w:ind w:left="103" w:right="49"/>
              <w:jc w:val="center"/>
              <w:rPr>
                <w:rFonts w:asciiTheme="majorHAnsi" w:hAnsiTheme="majorHAnsi" w:cs="Calibri"/>
                <w:b/>
                <w:sz w:val="16"/>
                <w:szCs w:val="20"/>
              </w:rPr>
            </w:pPr>
            <w:r w:rsidRPr="00396D70">
              <w:rPr>
                <w:rFonts w:asciiTheme="majorHAnsi" w:hAnsiTheme="majorHAnsi" w:cs="Calibri"/>
                <w:b/>
                <w:sz w:val="16"/>
                <w:szCs w:val="20"/>
              </w:rPr>
              <w:t>2008</w:t>
            </w:r>
          </w:p>
        </w:tc>
        <w:tc>
          <w:tcPr>
            <w:tcW w:w="4521" w:type="pct"/>
            <w:shd w:val="clear" w:color="auto" w:fill="auto"/>
            <w:vAlign w:val="center"/>
          </w:tcPr>
          <w:p w14:paraId="06148A1D" w14:textId="77777777" w:rsidR="0062434F" w:rsidRPr="00396D70" w:rsidRDefault="003508B7" w:rsidP="003508B7">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Con la Resolución 026 s</w:t>
            </w:r>
            <w:r w:rsidR="0062434F" w:rsidRPr="00396D70">
              <w:rPr>
                <w:rFonts w:asciiTheme="majorHAnsi" w:hAnsiTheme="majorHAnsi" w:cs="Calibri"/>
                <w:sz w:val="16"/>
                <w:szCs w:val="20"/>
                <w:lang w:val="es-CO"/>
              </w:rPr>
              <w:t xml:space="preserve">e reglamenta el incentivo de Asistencia Técnica prestada por </w:t>
            </w:r>
            <w:r w:rsidR="00B036A2" w:rsidRPr="00396D70">
              <w:rPr>
                <w:rFonts w:asciiTheme="majorHAnsi" w:hAnsiTheme="majorHAnsi" w:cs="Calibri"/>
                <w:sz w:val="16"/>
                <w:szCs w:val="20"/>
                <w:lang w:val="es-CO"/>
              </w:rPr>
              <w:t>Gremios.</w:t>
            </w:r>
          </w:p>
        </w:tc>
      </w:tr>
      <w:tr w:rsidR="0062434F" w:rsidRPr="00396D70" w14:paraId="539D9A02" w14:textId="77777777" w:rsidTr="006024D9">
        <w:trPr>
          <w:trHeight w:val="20"/>
        </w:trPr>
        <w:tc>
          <w:tcPr>
            <w:tcW w:w="479" w:type="pct"/>
            <w:shd w:val="clear" w:color="auto" w:fill="9CC2E5" w:themeFill="accent5" w:themeFillTint="99"/>
            <w:vAlign w:val="center"/>
          </w:tcPr>
          <w:p w14:paraId="5D5C8285" w14:textId="77777777" w:rsidR="0062434F" w:rsidRPr="00396D70" w:rsidRDefault="0062434F" w:rsidP="00AE5F60">
            <w:pPr>
              <w:pStyle w:val="TableParagraph"/>
              <w:spacing w:before="3"/>
              <w:ind w:right="49"/>
              <w:jc w:val="center"/>
              <w:rPr>
                <w:rFonts w:asciiTheme="majorHAnsi" w:hAnsiTheme="majorHAnsi" w:cs="Calibri"/>
                <w:sz w:val="16"/>
                <w:szCs w:val="20"/>
                <w:lang w:val="es-CO"/>
              </w:rPr>
            </w:pPr>
          </w:p>
          <w:p w14:paraId="410812CA" w14:textId="77777777" w:rsidR="0062434F" w:rsidRPr="00396D70" w:rsidRDefault="0062434F" w:rsidP="00AE5F60">
            <w:pPr>
              <w:pStyle w:val="TableParagraph"/>
              <w:ind w:left="103" w:right="49"/>
              <w:jc w:val="center"/>
              <w:rPr>
                <w:rFonts w:asciiTheme="majorHAnsi" w:hAnsiTheme="majorHAnsi" w:cs="Calibri"/>
                <w:b/>
                <w:sz w:val="16"/>
                <w:szCs w:val="20"/>
              </w:rPr>
            </w:pPr>
            <w:r w:rsidRPr="00396D70">
              <w:rPr>
                <w:rFonts w:asciiTheme="majorHAnsi" w:hAnsiTheme="majorHAnsi" w:cs="Calibri"/>
                <w:b/>
                <w:sz w:val="16"/>
                <w:szCs w:val="20"/>
              </w:rPr>
              <w:t>2010</w:t>
            </w:r>
          </w:p>
        </w:tc>
        <w:tc>
          <w:tcPr>
            <w:tcW w:w="4521" w:type="pct"/>
            <w:shd w:val="clear" w:color="auto" w:fill="auto"/>
            <w:vAlign w:val="center"/>
          </w:tcPr>
          <w:p w14:paraId="6DC5AD7E" w14:textId="77777777" w:rsidR="0062434F" w:rsidRPr="00396D70" w:rsidRDefault="0062434F" w:rsidP="006D2769">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 xml:space="preserve">El programa AIS cambia su nombre a  Desarrollo Rural con Equidad </w:t>
            </w:r>
            <w:r w:rsidR="003508B7" w:rsidRPr="00396D70">
              <w:rPr>
                <w:rFonts w:asciiTheme="majorHAnsi" w:hAnsiTheme="majorHAnsi" w:cs="Calibri"/>
                <w:sz w:val="16"/>
                <w:szCs w:val="20"/>
                <w:lang w:val="es-CO"/>
              </w:rPr>
              <w:t>(</w:t>
            </w:r>
            <w:r w:rsidRPr="00396D70">
              <w:rPr>
                <w:rFonts w:asciiTheme="majorHAnsi" w:hAnsiTheme="majorHAnsi" w:cs="Calibri"/>
                <w:sz w:val="16"/>
                <w:szCs w:val="20"/>
                <w:lang w:val="es-CO"/>
              </w:rPr>
              <w:t>DRE</w:t>
            </w:r>
            <w:r w:rsidR="003508B7" w:rsidRPr="00396D70">
              <w:rPr>
                <w:rFonts w:asciiTheme="majorHAnsi" w:hAnsiTheme="majorHAnsi" w:cs="Calibri"/>
                <w:sz w:val="16"/>
                <w:szCs w:val="20"/>
                <w:lang w:val="es-CO"/>
              </w:rPr>
              <w:t>)</w:t>
            </w:r>
            <w:r w:rsidRPr="00396D70">
              <w:rPr>
                <w:rFonts w:asciiTheme="majorHAnsi" w:hAnsiTheme="majorHAnsi" w:cs="Calibri"/>
                <w:sz w:val="16"/>
                <w:szCs w:val="20"/>
                <w:lang w:val="es-CO"/>
              </w:rPr>
              <w:t xml:space="preserve"> conservando los mismos componentes. Las Resoluciones 049 y 129 recogen en un solo instrumento la reglamentación del incentivo.</w:t>
            </w:r>
          </w:p>
        </w:tc>
      </w:tr>
      <w:tr w:rsidR="0062434F" w:rsidRPr="00396D70" w14:paraId="497FC328" w14:textId="77777777" w:rsidTr="006024D9">
        <w:trPr>
          <w:trHeight w:val="20"/>
        </w:trPr>
        <w:tc>
          <w:tcPr>
            <w:tcW w:w="479" w:type="pct"/>
            <w:shd w:val="clear" w:color="auto" w:fill="9CC2E5" w:themeFill="accent5" w:themeFillTint="99"/>
            <w:vAlign w:val="center"/>
          </w:tcPr>
          <w:p w14:paraId="602A1378" w14:textId="77777777" w:rsidR="0062434F" w:rsidRPr="00396D70" w:rsidRDefault="0062434F" w:rsidP="00AE5F60">
            <w:pPr>
              <w:pStyle w:val="TableParagraph"/>
              <w:spacing w:before="126"/>
              <w:ind w:left="103" w:right="49"/>
              <w:jc w:val="center"/>
              <w:rPr>
                <w:rFonts w:asciiTheme="majorHAnsi" w:hAnsiTheme="majorHAnsi" w:cs="Calibri"/>
                <w:b/>
                <w:sz w:val="16"/>
                <w:szCs w:val="20"/>
              </w:rPr>
            </w:pPr>
            <w:r w:rsidRPr="00396D70">
              <w:rPr>
                <w:rFonts w:asciiTheme="majorHAnsi" w:hAnsiTheme="majorHAnsi" w:cs="Calibri"/>
                <w:b/>
                <w:sz w:val="16"/>
                <w:szCs w:val="20"/>
              </w:rPr>
              <w:t>2011</w:t>
            </w:r>
          </w:p>
        </w:tc>
        <w:tc>
          <w:tcPr>
            <w:tcW w:w="4521" w:type="pct"/>
            <w:shd w:val="clear" w:color="auto" w:fill="auto"/>
            <w:vAlign w:val="center"/>
          </w:tcPr>
          <w:p w14:paraId="4939CD24" w14:textId="77777777" w:rsidR="0062434F" w:rsidRPr="00396D70" w:rsidRDefault="0062434F" w:rsidP="006D2769">
            <w:pPr>
              <w:pStyle w:val="TableParagraph"/>
              <w:spacing w:before="3"/>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El MADR consolida la estrategia concursal y lanza las convocatorias 2012 a 2015 amparadas en las resoluciones 178 (2012) y 026 (2014).</w:t>
            </w:r>
          </w:p>
        </w:tc>
      </w:tr>
      <w:tr w:rsidR="0062434F" w:rsidRPr="00396D70" w14:paraId="61B733E7" w14:textId="77777777" w:rsidTr="006024D9">
        <w:trPr>
          <w:trHeight w:val="20"/>
        </w:trPr>
        <w:tc>
          <w:tcPr>
            <w:tcW w:w="479" w:type="pct"/>
            <w:shd w:val="clear" w:color="auto" w:fill="9CC2E5" w:themeFill="accent5" w:themeFillTint="99"/>
            <w:vAlign w:val="center"/>
          </w:tcPr>
          <w:p w14:paraId="456EB0A5" w14:textId="77777777" w:rsidR="0062434F" w:rsidRPr="00396D70" w:rsidRDefault="0062434F" w:rsidP="00AE5F60">
            <w:pPr>
              <w:pStyle w:val="TableParagraph"/>
              <w:spacing w:before="5"/>
              <w:ind w:right="49"/>
              <w:jc w:val="center"/>
              <w:rPr>
                <w:rFonts w:asciiTheme="majorHAnsi" w:hAnsiTheme="majorHAnsi" w:cs="Calibri"/>
                <w:sz w:val="16"/>
                <w:szCs w:val="20"/>
                <w:lang w:val="es-CO"/>
              </w:rPr>
            </w:pPr>
          </w:p>
          <w:p w14:paraId="427B7EFC" w14:textId="77777777" w:rsidR="0062434F" w:rsidRPr="00396D70" w:rsidRDefault="0062434F" w:rsidP="00AE5F60">
            <w:pPr>
              <w:pStyle w:val="TableParagraph"/>
              <w:spacing w:before="1"/>
              <w:ind w:left="103" w:right="49"/>
              <w:jc w:val="center"/>
              <w:rPr>
                <w:rFonts w:asciiTheme="majorHAnsi" w:hAnsiTheme="majorHAnsi" w:cs="Calibri"/>
                <w:b/>
                <w:sz w:val="16"/>
                <w:szCs w:val="20"/>
              </w:rPr>
            </w:pPr>
            <w:r w:rsidRPr="00396D70">
              <w:rPr>
                <w:rFonts w:asciiTheme="majorHAnsi" w:hAnsiTheme="majorHAnsi" w:cs="Calibri"/>
                <w:b/>
                <w:sz w:val="16"/>
                <w:szCs w:val="20"/>
              </w:rPr>
              <w:t>2015</w:t>
            </w:r>
          </w:p>
        </w:tc>
        <w:tc>
          <w:tcPr>
            <w:tcW w:w="4521" w:type="pct"/>
            <w:shd w:val="clear" w:color="auto" w:fill="auto"/>
            <w:vAlign w:val="center"/>
          </w:tcPr>
          <w:p w14:paraId="16C3699C" w14:textId="77777777" w:rsidR="0062434F" w:rsidRPr="00396D70" w:rsidRDefault="0062434F" w:rsidP="006D2769">
            <w:pPr>
              <w:pStyle w:val="TableParagraph"/>
              <w:spacing w:before="5"/>
              <w:ind w:left="101" w:right="49"/>
              <w:jc w:val="both"/>
              <w:rPr>
                <w:rFonts w:asciiTheme="majorHAnsi" w:hAnsiTheme="majorHAnsi" w:cs="Calibri"/>
                <w:sz w:val="16"/>
                <w:szCs w:val="20"/>
                <w:lang w:val="es-CO"/>
              </w:rPr>
            </w:pPr>
            <w:r w:rsidRPr="00396D70">
              <w:rPr>
                <w:rFonts w:asciiTheme="majorHAnsi" w:hAnsiTheme="majorHAnsi" w:cs="Calibri"/>
                <w:sz w:val="16"/>
                <w:szCs w:val="20"/>
                <w:lang w:val="es-CO"/>
              </w:rPr>
              <w:t>El Plan Nacional de Desarrollo “Todos por un Nuevo País” busca la construcción de un nuevo modelo de asistencia técnica integral definido por tipo de productor.</w:t>
            </w:r>
          </w:p>
        </w:tc>
      </w:tr>
    </w:tbl>
    <w:p w14:paraId="4C4F0187" w14:textId="77777777" w:rsidR="0062434F" w:rsidRPr="00A73608" w:rsidRDefault="003508B7" w:rsidP="00B036A2">
      <w:pPr>
        <w:spacing w:before="71" w:after="0"/>
        <w:ind w:left="122" w:right="49"/>
        <w:jc w:val="center"/>
        <w:rPr>
          <w:rFonts w:asciiTheme="majorHAnsi" w:hAnsiTheme="majorHAnsi" w:cs="Calibri"/>
          <w:i/>
          <w:sz w:val="18"/>
          <w:szCs w:val="18"/>
        </w:rPr>
      </w:pPr>
      <w:r w:rsidRPr="00A73608">
        <w:rPr>
          <w:rFonts w:asciiTheme="majorHAnsi" w:hAnsiTheme="majorHAnsi" w:cs="Calibri"/>
          <w:i/>
          <w:sz w:val="18"/>
          <w:szCs w:val="18"/>
        </w:rPr>
        <w:t xml:space="preserve">Fuente: </w:t>
      </w:r>
      <w:r w:rsidR="0062434F" w:rsidRPr="00A73608">
        <w:rPr>
          <w:rFonts w:asciiTheme="majorHAnsi" w:hAnsiTheme="majorHAnsi" w:cs="Calibri"/>
          <w:i/>
          <w:sz w:val="18"/>
          <w:szCs w:val="18"/>
        </w:rPr>
        <w:t>DNP</w:t>
      </w:r>
      <w:r w:rsidRPr="00A73608">
        <w:rPr>
          <w:rFonts w:asciiTheme="majorHAnsi" w:hAnsiTheme="majorHAnsi" w:cs="Calibri"/>
          <w:i/>
          <w:sz w:val="18"/>
          <w:szCs w:val="18"/>
        </w:rPr>
        <w:t xml:space="preserve"> (</w:t>
      </w:r>
      <w:r w:rsidR="0062434F" w:rsidRPr="00A73608">
        <w:rPr>
          <w:rFonts w:asciiTheme="majorHAnsi" w:hAnsiTheme="majorHAnsi" w:cs="Calibri"/>
          <w:i/>
          <w:sz w:val="18"/>
          <w:szCs w:val="18"/>
        </w:rPr>
        <w:t>2016</w:t>
      </w:r>
      <w:r w:rsidRPr="00A73608">
        <w:rPr>
          <w:rFonts w:asciiTheme="majorHAnsi" w:hAnsiTheme="majorHAnsi" w:cs="Calibri"/>
          <w:i/>
          <w:sz w:val="18"/>
          <w:szCs w:val="18"/>
        </w:rPr>
        <w:t>)</w:t>
      </w:r>
      <w:r w:rsidR="0062434F" w:rsidRPr="00A73608">
        <w:rPr>
          <w:rFonts w:asciiTheme="majorHAnsi" w:hAnsiTheme="majorHAnsi" w:cs="Calibri"/>
          <w:i/>
          <w:sz w:val="18"/>
          <w:szCs w:val="18"/>
        </w:rPr>
        <w:t>.</w:t>
      </w:r>
    </w:p>
    <w:p w14:paraId="0DFA855E" w14:textId="77777777" w:rsidR="003E5768" w:rsidRDefault="003E5768" w:rsidP="0062434F">
      <w:pPr>
        <w:pStyle w:val="Textoindependiente"/>
        <w:spacing w:before="1"/>
        <w:ind w:left="122" w:right="49"/>
        <w:jc w:val="both"/>
        <w:rPr>
          <w:rFonts w:asciiTheme="majorHAnsi" w:hAnsiTheme="majorHAnsi" w:cs="Calibri"/>
          <w:lang w:val="es-CO"/>
        </w:rPr>
      </w:pPr>
    </w:p>
    <w:p w14:paraId="3D714FA9" w14:textId="77777777" w:rsidR="00396D70" w:rsidRPr="00A73608" w:rsidRDefault="00396D70" w:rsidP="0062434F">
      <w:pPr>
        <w:pStyle w:val="Textoindependiente"/>
        <w:spacing w:before="1"/>
        <w:ind w:left="122" w:right="49"/>
        <w:jc w:val="both"/>
        <w:rPr>
          <w:rFonts w:asciiTheme="majorHAnsi" w:hAnsiTheme="majorHAnsi" w:cs="Calibri"/>
          <w:lang w:val="es-CO"/>
        </w:rPr>
      </w:pPr>
    </w:p>
    <w:p w14:paraId="5EDB1B26" w14:textId="17E5E7FC" w:rsidR="0062434F" w:rsidRDefault="008B62CF" w:rsidP="00EA162D">
      <w:pPr>
        <w:pStyle w:val="Textoindependiente"/>
        <w:numPr>
          <w:ilvl w:val="1"/>
          <w:numId w:val="14"/>
        </w:numPr>
        <w:spacing w:before="1"/>
        <w:ind w:right="49"/>
        <w:jc w:val="both"/>
        <w:rPr>
          <w:rFonts w:asciiTheme="majorHAnsi" w:hAnsiTheme="majorHAnsi" w:cs="Calibri"/>
          <w:lang w:val="es-CO"/>
        </w:rPr>
      </w:pPr>
      <w:r w:rsidRPr="00A73608">
        <w:rPr>
          <w:rFonts w:asciiTheme="majorHAnsi" w:hAnsiTheme="majorHAnsi" w:cs="Calibri"/>
          <w:lang w:val="es-CO"/>
        </w:rPr>
        <w:t xml:space="preserve">Los hitos </w:t>
      </w:r>
      <w:r w:rsidR="00B036A2" w:rsidRPr="00A73608">
        <w:rPr>
          <w:rFonts w:asciiTheme="majorHAnsi" w:hAnsiTheme="majorHAnsi" w:cs="Calibri"/>
          <w:lang w:val="es-CO"/>
        </w:rPr>
        <w:t>anteriormente</w:t>
      </w:r>
      <w:r w:rsidRPr="00A73608">
        <w:rPr>
          <w:rFonts w:asciiTheme="majorHAnsi" w:hAnsiTheme="majorHAnsi" w:cs="Calibri"/>
          <w:lang w:val="es-CO"/>
        </w:rPr>
        <w:t xml:space="preserve"> señalados permiten afirmar que los modelos </w:t>
      </w:r>
      <w:r w:rsidR="0062434F" w:rsidRPr="00A73608">
        <w:rPr>
          <w:rFonts w:asciiTheme="majorHAnsi" w:hAnsiTheme="majorHAnsi" w:cs="Calibri"/>
          <w:lang w:val="es-CO"/>
        </w:rPr>
        <w:t xml:space="preserve">de </w:t>
      </w:r>
      <w:r w:rsidRPr="00A73608">
        <w:rPr>
          <w:rFonts w:asciiTheme="majorHAnsi" w:hAnsiTheme="majorHAnsi" w:cs="Calibri"/>
          <w:lang w:val="es-CO"/>
        </w:rPr>
        <w:t xml:space="preserve">asistencia técnica </w:t>
      </w:r>
      <w:r w:rsidR="0062434F" w:rsidRPr="00A73608">
        <w:rPr>
          <w:rFonts w:asciiTheme="majorHAnsi" w:hAnsiTheme="majorHAnsi" w:cs="Calibri"/>
          <w:lang w:val="es-CO"/>
        </w:rPr>
        <w:t xml:space="preserve">y de extensión </w:t>
      </w:r>
      <w:r w:rsidRPr="00A73608">
        <w:rPr>
          <w:rFonts w:asciiTheme="majorHAnsi" w:hAnsiTheme="majorHAnsi" w:cs="Calibri"/>
          <w:lang w:val="es-CO"/>
        </w:rPr>
        <w:t xml:space="preserve">agropecuaria (ATEA) </w:t>
      </w:r>
      <w:r w:rsidR="0062434F" w:rsidRPr="00A73608">
        <w:rPr>
          <w:rFonts w:asciiTheme="majorHAnsi" w:hAnsiTheme="majorHAnsi" w:cs="Calibri"/>
          <w:lang w:val="es-CO"/>
        </w:rPr>
        <w:t>se han orientado a dos formas de intervención</w:t>
      </w:r>
      <w:r w:rsidR="0062434F" w:rsidRPr="00A73608">
        <w:rPr>
          <w:rStyle w:val="Refdenotaalpie"/>
          <w:rFonts w:asciiTheme="majorHAnsi" w:hAnsiTheme="majorHAnsi" w:cs="Calibri"/>
          <w:lang w:val="es-CO"/>
        </w:rPr>
        <w:footnoteReference w:id="2"/>
      </w:r>
      <w:r w:rsidR="0062434F" w:rsidRPr="00A73608">
        <w:rPr>
          <w:rFonts w:asciiTheme="majorHAnsi" w:hAnsiTheme="majorHAnsi" w:cs="Calibri"/>
          <w:lang w:val="es-CO"/>
        </w:rPr>
        <w:t>:</w:t>
      </w:r>
    </w:p>
    <w:p w14:paraId="16AD5CE5" w14:textId="77777777" w:rsidR="008B62CF" w:rsidRPr="00A73608" w:rsidRDefault="008B62CF" w:rsidP="0062434F">
      <w:pPr>
        <w:pStyle w:val="Textoindependiente"/>
        <w:spacing w:before="1"/>
        <w:ind w:left="122" w:right="49"/>
        <w:jc w:val="both"/>
        <w:rPr>
          <w:rFonts w:asciiTheme="majorHAnsi" w:hAnsiTheme="majorHAnsi" w:cs="Calibri"/>
          <w:color w:val="FF0000"/>
          <w:lang w:val="es-CO"/>
        </w:rPr>
      </w:pPr>
    </w:p>
    <w:p w14:paraId="13D179BD" w14:textId="77777777" w:rsidR="008B62CF" w:rsidRPr="00A73608" w:rsidRDefault="0062434F" w:rsidP="006A7605">
      <w:pPr>
        <w:pStyle w:val="Textoindependiente"/>
        <w:numPr>
          <w:ilvl w:val="1"/>
          <w:numId w:val="2"/>
        </w:numPr>
        <w:spacing w:before="1"/>
        <w:ind w:right="49"/>
        <w:jc w:val="both"/>
        <w:rPr>
          <w:rFonts w:asciiTheme="majorHAnsi" w:hAnsiTheme="majorHAnsi" w:cs="Calibri"/>
          <w:lang w:val="es-CO"/>
        </w:rPr>
      </w:pPr>
      <w:r w:rsidRPr="00A73608">
        <w:rPr>
          <w:rFonts w:asciiTheme="majorHAnsi" w:hAnsiTheme="majorHAnsi" w:cs="Calibri"/>
          <w:lang w:val="es-CO"/>
        </w:rPr>
        <w:lastRenderedPageBreak/>
        <w:t>Intervenciones ejercidas por los organismos corporativos representativos de las empresas privadas y productos con amplia aceptación en el mercado, no necesariamente ligados a la exportación, que asumen la función del cambio técnico de una forma agresiva y comprometida, creando sus propios equipos técnicos integrados a procesos de investigación y desarrollo.</w:t>
      </w:r>
    </w:p>
    <w:p w14:paraId="6637F224" w14:textId="77777777" w:rsidR="00F52125" w:rsidRPr="00804851" w:rsidRDefault="0062434F" w:rsidP="006A7605">
      <w:pPr>
        <w:pStyle w:val="Textoindependiente"/>
        <w:numPr>
          <w:ilvl w:val="1"/>
          <w:numId w:val="2"/>
        </w:numPr>
        <w:spacing w:before="1"/>
        <w:ind w:right="49"/>
        <w:jc w:val="both"/>
        <w:rPr>
          <w:rFonts w:asciiTheme="majorHAnsi" w:hAnsiTheme="majorHAnsi" w:cs="Calibri"/>
          <w:lang w:val="es-CO"/>
        </w:rPr>
      </w:pPr>
      <w:r w:rsidRPr="00A73608">
        <w:rPr>
          <w:rFonts w:asciiTheme="majorHAnsi" w:hAnsiTheme="majorHAnsi" w:cs="Calibri"/>
          <w:lang w:val="es-CO"/>
        </w:rPr>
        <w:t xml:space="preserve">La extensión rural o ATA ejercida por el Ministerio de Agricultura y Desarrollo Rural, los organismos de la Reforma Agraria y otros relacionados con responsabilidades públicas, con una función de cambio técnico desfasada de las condiciones necesarias para llevar las innovaciones a una clientela que no </w:t>
      </w:r>
      <w:r w:rsidRPr="00804851">
        <w:rPr>
          <w:rFonts w:asciiTheme="majorHAnsi" w:hAnsiTheme="majorHAnsi" w:cs="Calibri"/>
          <w:lang w:val="es-CO"/>
        </w:rPr>
        <w:t>podía adoptarla (Gonzáles</w:t>
      </w:r>
      <w:r w:rsidR="008B62CF" w:rsidRPr="00804851">
        <w:rPr>
          <w:rFonts w:asciiTheme="majorHAnsi" w:hAnsiTheme="majorHAnsi" w:cs="Calibri"/>
          <w:lang w:val="es-CO"/>
        </w:rPr>
        <w:t>,</w:t>
      </w:r>
      <w:r w:rsidRPr="00804851">
        <w:rPr>
          <w:rFonts w:asciiTheme="majorHAnsi" w:hAnsiTheme="majorHAnsi" w:cs="Calibri"/>
          <w:lang w:val="es-CO"/>
        </w:rPr>
        <w:t xml:space="preserve"> 2000).</w:t>
      </w:r>
    </w:p>
    <w:p w14:paraId="0B514EE9" w14:textId="77777777" w:rsidR="00C35BEA" w:rsidRPr="00804851" w:rsidRDefault="00C35BEA" w:rsidP="00C35BEA">
      <w:pPr>
        <w:pStyle w:val="Textoindependiente"/>
        <w:spacing w:before="1"/>
        <w:ind w:right="49"/>
        <w:jc w:val="both"/>
        <w:rPr>
          <w:rFonts w:asciiTheme="majorHAnsi" w:hAnsiTheme="majorHAnsi" w:cs="Calibri"/>
          <w:lang w:val="es-CO"/>
        </w:rPr>
      </w:pPr>
    </w:p>
    <w:p w14:paraId="2FE2E2B6" w14:textId="7359435C" w:rsidR="000B4069" w:rsidRPr="002530AB" w:rsidRDefault="00396D70" w:rsidP="00EA162D">
      <w:pPr>
        <w:pStyle w:val="Prrafodelista"/>
        <w:numPr>
          <w:ilvl w:val="1"/>
          <w:numId w:val="14"/>
        </w:numPr>
        <w:spacing w:after="0" w:line="240" w:lineRule="auto"/>
        <w:jc w:val="both"/>
        <w:rPr>
          <w:rFonts w:asciiTheme="majorHAnsi" w:hAnsiTheme="majorHAnsi" w:cs="Calibri"/>
          <w:b/>
          <w:i/>
        </w:rPr>
      </w:pPr>
      <w:r w:rsidRPr="002530AB">
        <w:rPr>
          <w:rFonts w:asciiTheme="majorHAnsi" w:hAnsiTheme="majorHAnsi" w:cs="Calibri"/>
        </w:rPr>
        <w:t xml:space="preserve">En el marco del Procedimiento Legislativo Especial para la Paz, se expidió la </w:t>
      </w:r>
      <w:r w:rsidR="000B4069" w:rsidRPr="002530AB">
        <w:rPr>
          <w:rFonts w:asciiTheme="majorHAnsi" w:hAnsiTheme="majorHAnsi" w:cs="Calibri"/>
          <w:b/>
          <w:i/>
        </w:rPr>
        <w:t>Ley 1876 del 29 de diciembre de 2017 Por medio de la cual se crea el Sistema Nacional de Innovación Agropecuaria y se dictan otras disposiciones”</w:t>
      </w:r>
      <w:r w:rsidR="002530AB">
        <w:rPr>
          <w:rFonts w:asciiTheme="majorHAnsi" w:hAnsiTheme="majorHAnsi" w:cs="Calibri"/>
          <w:b/>
          <w:i/>
        </w:rPr>
        <w:t xml:space="preserve">, </w:t>
      </w:r>
      <w:r w:rsidR="002530AB">
        <w:rPr>
          <w:rFonts w:asciiTheme="majorHAnsi" w:hAnsiTheme="majorHAnsi" w:cs="Calibri"/>
        </w:rPr>
        <w:t>la cual deroga la Ley 607 del 2000</w:t>
      </w:r>
      <w:r w:rsidR="000B4069" w:rsidRPr="002530AB">
        <w:rPr>
          <w:rFonts w:asciiTheme="majorHAnsi" w:hAnsiTheme="majorHAnsi" w:cs="Calibri"/>
          <w:b/>
          <w:i/>
        </w:rPr>
        <w:t>.</w:t>
      </w:r>
      <w:r w:rsidR="002530AB">
        <w:rPr>
          <w:rFonts w:asciiTheme="majorHAnsi" w:hAnsiTheme="majorHAnsi" w:cs="Calibri"/>
          <w:b/>
          <w:i/>
        </w:rPr>
        <w:t xml:space="preserve"> </w:t>
      </w:r>
      <w:r w:rsidR="000B4069" w:rsidRPr="002530AB">
        <w:rPr>
          <w:rFonts w:asciiTheme="majorHAnsi" w:hAnsiTheme="majorHAnsi" w:cs="Calibri"/>
        </w:rPr>
        <w:t>Esta ley crea y pone en marcha del Sistema Nacional de Innovación Agropecuaria (SNIA), compuesto por sus subsistemas, planes estratégicos, instrumentos de planificación y participación, plataformas de gestión, procedimientos para su implementación, así como mecanismos para su financiación, seguimiento y evaluación. Además</w:t>
      </w:r>
      <w:r w:rsidR="000B4069" w:rsidRPr="002530AB">
        <w:rPr>
          <w:rFonts w:asciiTheme="majorHAnsi" w:hAnsiTheme="majorHAnsi" w:cstheme="majorHAnsi"/>
        </w:rPr>
        <w:t xml:space="preserve"> crea nuevas funciones, competencias y mecanismos de articulación de las entidades y organismos de coordinación del orden nacional y territorial que componen el SNIA, y </w:t>
      </w:r>
      <w:r w:rsidR="000B4069" w:rsidRPr="002530AB">
        <w:rPr>
          <w:rFonts w:asciiTheme="majorHAnsi" w:hAnsiTheme="majorHAnsi" w:cstheme="majorHAnsi"/>
          <w:b/>
        </w:rPr>
        <w:t>crea el servicio público de extensión agropecuaria</w:t>
      </w:r>
      <w:r w:rsidR="000B4069" w:rsidRPr="002530AB">
        <w:rPr>
          <w:rFonts w:asciiTheme="majorHAnsi" w:hAnsiTheme="majorHAnsi" w:cstheme="majorHAnsi"/>
        </w:rPr>
        <w:t xml:space="preserve"> y normas para su prestación. </w:t>
      </w:r>
    </w:p>
    <w:p w14:paraId="4F67526B" w14:textId="77777777" w:rsidR="002530AB" w:rsidRDefault="002530AB" w:rsidP="00C35BEA">
      <w:pPr>
        <w:spacing w:after="0" w:line="240" w:lineRule="auto"/>
        <w:jc w:val="both"/>
        <w:rPr>
          <w:rFonts w:asciiTheme="majorHAnsi" w:hAnsiTheme="majorHAnsi"/>
        </w:rPr>
      </w:pPr>
    </w:p>
    <w:p w14:paraId="437DFE64" w14:textId="77777777" w:rsidR="00672503" w:rsidRDefault="00672503" w:rsidP="00C35BEA">
      <w:pPr>
        <w:spacing w:after="0" w:line="240" w:lineRule="auto"/>
        <w:jc w:val="both"/>
        <w:rPr>
          <w:rFonts w:asciiTheme="majorHAnsi" w:hAnsiTheme="majorHAnsi"/>
        </w:rPr>
      </w:pPr>
    </w:p>
    <w:p w14:paraId="1552AEB2" w14:textId="77777777" w:rsidR="0083487D" w:rsidRDefault="0083487D" w:rsidP="00C35BEA">
      <w:pPr>
        <w:spacing w:after="0" w:line="240" w:lineRule="auto"/>
        <w:jc w:val="both"/>
        <w:rPr>
          <w:rFonts w:asciiTheme="majorHAnsi" w:hAnsiTheme="majorHAnsi"/>
        </w:rPr>
      </w:pPr>
    </w:p>
    <w:p w14:paraId="2004A919" w14:textId="77777777" w:rsidR="0083487D" w:rsidRDefault="0083487D" w:rsidP="00C35BEA">
      <w:pPr>
        <w:spacing w:after="0" w:line="240" w:lineRule="auto"/>
        <w:jc w:val="both"/>
        <w:rPr>
          <w:rFonts w:asciiTheme="majorHAnsi" w:hAnsiTheme="majorHAnsi"/>
        </w:rPr>
      </w:pPr>
    </w:p>
    <w:p w14:paraId="6DD7F407" w14:textId="77777777" w:rsidR="0083487D" w:rsidRDefault="0083487D" w:rsidP="00C35BEA">
      <w:pPr>
        <w:spacing w:after="0" w:line="240" w:lineRule="auto"/>
        <w:jc w:val="both"/>
        <w:rPr>
          <w:rFonts w:asciiTheme="majorHAnsi" w:hAnsiTheme="majorHAnsi"/>
        </w:rPr>
      </w:pPr>
    </w:p>
    <w:p w14:paraId="10B9A97B" w14:textId="77777777" w:rsidR="0083487D" w:rsidRDefault="0083487D" w:rsidP="00C35BEA">
      <w:pPr>
        <w:spacing w:after="0" w:line="240" w:lineRule="auto"/>
        <w:jc w:val="both"/>
        <w:rPr>
          <w:rFonts w:asciiTheme="majorHAnsi" w:hAnsiTheme="majorHAnsi"/>
        </w:rPr>
      </w:pPr>
    </w:p>
    <w:p w14:paraId="3DA78DC1" w14:textId="77777777" w:rsidR="0083487D" w:rsidRDefault="0083487D" w:rsidP="00C35BEA">
      <w:pPr>
        <w:spacing w:after="0" w:line="240" w:lineRule="auto"/>
        <w:jc w:val="both"/>
        <w:rPr>
          <w:rFonts w:asciiTheme="majorHAnsi" w:hAnsiTheme="majorHAnsi"/>
        </w:rPr>
      </w:pPr>
    </w:p>
    <w:p w14:paraId="5FF5F62F" w14:textId="77777777" w:rsidR="0083487D" w:rsidRDefault="0083487D" w:rsidP="00C35BEA">
      <w:pPr>
        <w:spacing w:after="0" w:line="240" w:lineRule="auto"/>
        <w:jc w:val="both"/>
        <w:rPr>
          <w:rFonts w:asciiTheme="majorHAnsi" w:hAnsiTheme="majorHAnsi"/>
        </w:rPr>
      </w:pPr>
    </w:p>
    <w:p w14:paraId="79F25771" w14:textId="77777777" w:rsidR="0083487D" w:rsidRDefault="0083487D" w:rsidP="00C35BEA">
      <w:pPr>
        <w:spacing w:after="0" w:line="240" w:lineRule="auto"/>
        <w:jc w:val="both"/>
        <w:rPr>
          <w:rFonts w:asciiTheme="majorHAnsi" w:hAnsiTheme="majorHAnsi"/>
        </w:rPr>
      </w:pPr>
    </w:p>
    <w:p w14:paraId="6111793E" w14:textId="77777777" w:rsidR="0083487D" w:rsidRDefault="0083487D" w:rsidP="00C35BEA">
      <w:pPr>
        <w:spacing w:after="0" w:line="240" w:lineRule="auto"/>
        <w:jc w:val="both"/>
        <w:rPr>
          <w:rFonts w:asciiTheme="majorHAnsi" w:hAnsiTheme="majorHAnsi"/>
        </w:rPr>
      </w:pPr>
    </w:p>
    <w:p w14:paraId="76652EA4" w14:textId="77777777" w:rsidR="0083487D" w:rsidRDefault="0083487D" w:rsidP="00C35BEA">
      <w:pPr>
        <w:spacing w:after="0" w:line="240" w:lineRule="auto"/>
        <w:jc w:val="both"/>
        <w:rPr>
          <w:rFonts w:asciiTheme="majorHAnsi" w:hAnsiTheme="majorHAnsi"/>
        </w:rPr>
      </w:pPr>
    </w:p>
    <w:p w14:paraId="22BB31BB" w14:textId="77777777" w:rsidR="0083487D" w:rsidRDefault="0083487D" w:rsidP="00C35BEA">
      <w:pPr>
        <w:spacing w:after="0" w:line="240" w:lineRule="auto"/>
        <w:jc w:val="both"/>
        <w:rPr>
          <w:rFonts w:asciiTheme="majorHAnsi" w:hAnsiTheme="majorHAnsi"/>
        </w:rPr>
      </w:pPr>
    </w:p>
    <w:p w14:paraId="026F98FF" w14:textId="77777777" w:rsidR="0083487D" w:rsidRDefault="0083487D" w:rsidP="00C35BEA">
      <w:pPr>
        <w:spacing w:after="0" w:line="240" w:lineRule="auto"/>
        <w:jc w:val="both"/>
        <w:rPr>
          <w:rFonts w:asciiTheme="majorHAnsi" w:hAnsiTheme="majorHAnsi"/>
        </w:rPr>
      </w:pPr>
    </w:p>
    <w:p w14:paraId="0E4D1BBF" w14:textId="77777777" w:rsidR="0083487D" w:rsidRDefault="0083487D" w:rsidP="00C35BEA">
      <w:pPr>
        <w:spacing w:after="0" w:line="240" w:lineRule="auto"/>
        <w:jc w:val="both"/>
        <w:rPr>
          <w:rFonts w:asciiTheme="majorHAnsi" w:hAnsiTheme="majorHAnsi"/>
        </w:rPr>
      </w:pPr>
    </w:p>
    <w:p w14:paraId="3F2E2F34" w14:textId="77777777" w:rsidR="0083487D" w:rsidRDefault="0083487D" w:rsidP="00C35BEA">
      <w:pPr>
        <w:spacing w:after="0" w:line="240" w:lineRule="auto"/>
        <w:jc w:val="both"/>
        <w:rPr>
          <w:rFonts w:asciiTheme="majorHAnsi" w:hAnsiTheme="majorHAnsi"/>
        </w:rPr>
      </w:pPr>
    </w:p>
    <w:p w14:paraId="69D5ACF0" w14:textId="77777777" w:rsidR="0083487D" w:rsidRDefault="0083487D" w:rsidP="00C35BEA">
      <w:pPr>
        <w:spacing w:after="0" w:line="240" w:lineRule="auto"/>
        <w:jc w:val="both"/>
        <w:rPr>
          <w:rFonts w:asciiTheme="majorHAnsi" w:hAnsiTheme="majorHAnsi"/>
        </w:rPr>
      </w:pPr>
    </w:p>
    <w:p w14:paraId="4558653A" w14:textId="77777777" w:rsidR="0083487D" w:rsidRDefault="0083487D" w:rsidP="00C35BEA">
      <w:pPr>
        <w:spacing w:after="0" w:line="240" w:lineRule="auto"/>
        <w:jc w:val="both"/>
        <w:rPr>
          <w:rFonts w:asciiTheme="majorHAnsi" w:hAnsiTheme="majorHAnsi"/>
        </w:rPr>
      </w:pPr>
    </w:p>
    <w:p w14:paraId="6B304D71" w14:textId="77777777" w:rsidR="0083487D" w:rsidRDefault="0083487D" w:rsidP="00C35BEA">
      <w:pPr>
        <w:spacing w:after="0" w:line="240" w:lineRule="auto"/>
        <w:jc w:val="both"/>
        <w:rPr>
          <w:rFonts w:asciiTheme="majorHAnsi" w:hAnsiTheme="majorHAnsi"/>
        </w:rPr>
      </w:pPr>
    </w:p>
    <w:p w14:paraId="3717CD0E" w14:textId="77777777" w:rsidR="0083487D" w:rsidRDefault="0083487D" w:rsidP="00C35BEA">
      <w:pPr>
        <w:spacing w:after="0" w:line="240" w:lineRule="auto"/>
        <w:jc w:val="both"/>
        <w:rPr>
          <w:rFonts w:asciiTheme="majorHAnsi" w:hAnsiTheme="majorHAnsi"/>
        </w:rPr>
      </w:pPr>
    </w:p>
    <w:p w14:paraId="2722663B" w14:textId="77777777" w:rsidR="0083487D" w:rsidRDefault="0083487D" w:rsidP="00C35BEA">
      <w:pPr>
        <w:spacing w:after="0" w:line="240" w:lineRule="auto"/>
        <w:jc w:val="both"/>
        <w:rPr>
          <w:rFonts w:asciiTheme="majorHAnsi" w:hAnsiTheme="majorHAnsi"/>
        </w:rPr>
      </w:pPr>
    </w:p>
    <w:p w14:paraId="6DB8BE99" w14:textId="77777777" w:rsidR="0083487D" w:rsidRDefault="0083487D" w:rsidP="00C35BEA">
      <w:pPr>
        <w:spacing w:after="0" w:line="240" w:lineRule="auto"/>
        <w:jc w:val="both"/>
        <w:rPr>
          <w:rFonts w:asciiTheme="majorHAnsi" w:hAnsiTheme="majorHAnsi"/>
        </w:rPr>
      </w:pPr>
    </w:p>
    <w:p w14:paraId="6374D343" w14:textId="77777777" w:rsidR="0083487D" w:rsidRDefault="0083487D" w:rsidP="00C35BEA">
      <w:pPr>
        <w:spacing w:after="0" w:line="240" w:lineRule="auto"/>
        <w:jc w:val="both"/>
        <w:rPr>
          <w:rFonts w:asciiTheme="majorHAnsi" w:hAnsiTheme="majorHAnsi"/>
        </w:rPr>
      </w:pPr>
    </w:p>
    <w:p w14:paraId="1B3365AE" w14:textId="4D1D541A" w:rsidR="00C54FA7" w:rsidRPr="00A73608" w:rsidRDefault="00A23C60" w:rsidP="00EA162D">
      <w:pPr>
        <w:pStyle w:val="Ttulo1"/>
        <w:numPr>
          <w:ilvl w:val="0"/>
          <w:numId w:val="14"/>
        </w:numPr>
      </w:pPr>
      <w:bookmarkStart w:id="3" w:name="_Toc4680858"/>
      <w:r w:rsidRPr="00A73608">
        <w:lastRenderedPageBreak/>
        <w:t>Marco conceptual</w:t>
      </w:r>
      <w:bookmarkEnd w:id="3"/>
    </w:p>
    <w:p w14:paraId="3EE94444" w14:textId="297FDA1B" w:rsidR="00976DE9" w:rsidRDefault="00976DE9" w:rsidP="00976DE9">
      <w:pPr>
        <w:pStyle w:val="Sinespaciado"/>
        <w:spacing w:before="100" w:beforeAutospacing="1" w:after="100" w:afterAutospacing="1"/>
        <w:jc w:val="both"/>
        <w:rPr>
          <w:rFonts w:asciiTheme="majorHAnsi" w:hAnsiTheme="majorHAnsi"/>
        </w:rPr>
      </w:pPr>
      <w:r>
        <w:rPr>
          <w:rFonts w:asciiTheme="majorHAnsi" w:hAnsiTheme="majorHAnsi"/>
        </w:rPr>
        <w:t xml:space="preserve">Este Plan acoge las definiciones del Artículo 2 de la Ley 1876 de 2017, entre las que se destacan las siguientes, por definir el alcance del presente plan: </w:t>
      </w:r>
    </w:p>
    <w:p w14:paraId="24D2BA0E" w14:textId="67E65C93" w:rsidR="00373FC9" w:rsidRPr="00A73608" w:rsidRDefault="00373FC9" w:rsidP="00EA162D">
      <w:pPr>
        <w:pStyle w:val="Sinespaciado"/>
        <w:numPr>
          <w:ilvl w:val="1"/>
          <w:numId w:val="14"/>
        </w:numPr>
        <w:spacing w:before="100" w:beforeAutospacing="1" w:after="200"/>
        <w:jc w:val="both"/>
        <w:rPr>
          <w:rFonts w:asciiTheme="majorHAnsi" w:hAnsiTheme="majorHAnsi"/>
        </w:rPr>
      </w:pPr>
      <w:r w:rsidRPr="00A73608">
        <w:rPr>
          <w:rFonts w:asciiTheme="majorHAnsi" w:hAnsiTheme="majorHAnsi"/>
          <w:b/>
        </w:rPr>
        <w:t>Sector agropecuario.</w:t>
      </w:r>
      <w:r w:rsidRPr="00A73608">
        <w:rPr>
          <w:rFonts w:asciiTheme="majorHAnsi" w:hAnsiTheme="majorHAnsi"/>
        </w:rPr>
        <w:t xml:space="preserve"> Se entiende por sector agropecuario aquel cuya actividad económica está circunscrita a los ámbitos agrícola, pecuario, forestal, acuícola y pesquero, así como la adecuación y la transformación de la producción, los servicios de apoyo asociados y la comercialización de productos primarios. </w:t>
      </w:r>
    </w:p>
    <w:p w14:paraId="6124F143" w14:textId="72D19D11" w:rsidR="00B9238F" w:rsidRPr="00A73608" w:rsidRDefault="00B9238F" w:rsidP="00EA162D">
      <w:pPr>
        <w:pStyle w:val="Sinespaciado"/>
        <w:numPr>
          <w:ilvl w:val="1"/>
          <w:numId w:val="14"/>
        </w:numPr>
        <w:spacing w:before="100" w:beforeAutospacing="1" w:after="200"/>
        <w:jc w:val="both"/>
        <w:rPr>
          <w:rFonts w:asciiTheme="majorHAnsi" w:hAnsiTheme="majorHAnsi" w:cstheme="majorHAnsi"/>
        </w:rPr>
      </w:pPr>
      <w:r w:rsidRPr="00A73608">
        <w:rPr>
          <w:rFonts w:asciiTheme="majorHAnsi" w:hAnsiTheme="majorHAnsi"/>
          <w:b/>
        </w:rPr>
        <w:t>Extensión Agropecuaria.</w:t>
      </w:r>
      <w:r w:rsidRPr="00A73608">
        <w:rPr>
          <w:rFonts w:asciiTheme="majorHAnsi" w:hAnsiTheme="majorHAnsi"/>
        </w:rPr>
        <w:t xml:space="preserve"> </w:t>
      </w:r>
      <w:r w:rsidR="002A5EAA" w:rsidRPr="00A73608">
        <w:rPr>
          <w:rFonts w:asciiTheme="majorHAnsi" w:hAnsiTheme="majorHAnsi" w:cs="Arial"/>
          <w:b/>
          <w:sz w:val="24"/>
          <w:szCs w:val="24"/>
        </w:rPr>
        <w:t xml:space="preserve"> </w:t>
      </w:r>
      <w:r w:rsidR="002A5EAA" w:rsidRPr="00A73608">
        <w:rPr>
          <w:rFonts w:asciiTheme="majorHAnsi" w:hAnsiTheme="majorHAnsi" w:cstheme="majorHAnsi"/>
        </w:rPr>
        <w:t>Proceso de acompañamiento mediante el cual se gestiona el desarrollo de capacidades de los productores agropecuarios, su articulación con el entorno y el acceso al conocimiento, tecnologías, productos y servicios de apoyo; con el fin de hacer competitiva y sostenible su producción al tiempo que contribuye a la mejora de la calidad de vida familiar. Por lo tanto, la extensión agropecuaria facilita la gestión de conocimiento, el diagnóstico y solución de problemas, en los niveles de la producción primaria, la poscosecha, y la comercialización; el intercambio de experiencias y la construcción de capacidades individuales, colectivas y sociales.  Para tal efecto, la extensión agropecuaria desarrollará actividades vinculadas a promover el cambio técnico en los diferentes eslabones que constituyen la cadena productiva, las asesorías y acompañamiento a productores en acceso al crédito, formalización de la propiedad, y certificación en BPA, entre otros.</w:t>
      </w:r>
    </w:p>
    <w:p w14:paraId="370F8C1A" w14:textId="456325E3" w:rsidR="002A5EAA" w:rsidRPr="00A73608" w:rsidRDefault="002A5EAA" w:rsidP="00EA162D">
      <w:pPr>
        <w:pStyle w:val="Sinespaciado"/>
        <w:numPr>
          <w:ilvl w:val="1"/>
          <w:numId w:val="14"/>
        </w:numPr>
        <w:spacing w:before="100" w:beforeAutospacing="1" w:after="200"/>
        <w:jc w:val="both"/>
        <w:rPr>
          <w:rFonts w:asciiTheme="majorHAnsi" w:hAnsiTheme="majorHAnsi"/>
        </w:rPr>
      </w:pPr>
      <w:r w:rsidRPr="00A73608">
        <w:rPr>
          <w:rFonts w:asciiTheme="majorHAnsi" w:hAnsiTheme="majorHAnsi"/>
          <w:b/>
        </w:rPr>
        <w:t>Innovación agropecuaria.</w:t>
      </w:r>
      <w:r w:rsidRPr="00A73608">
        <w:rPr>
          <w:rFonts w:asciiTheme="majorHAnsi" w:hAnsiTheme="majorHAnsi"/>
        </w:rPr>
        <w:t xml:space="preserve"> Introducción de productos, bienes, servicios, procesos y métodos nuevos en el ámbito productivo, de transformación o adecuación de la producción, administrativo, organizacional, financiero y crediticio, informático, de mercadeo y comercialización, que incorporen mejoras significativas en el desempeño del sector agropecuario.</w:t>
      </w:r>
    </w:p>
    <w:p w14:paraId="018922B5" w14:textId="77777777" w:rsidR="005E6DA2" w:rsidRDefault="005E6DA2" w:rsidP="002B4138">
      <w:pPr>
        <w:pStyle w:val="Sinespaciado"/>
        <w:spacing w:before="100" w:beforeAutospacing="1" w:after="200"/>
        <w:jc w:val="both"/>
        <w:rPr>
          <w:rFonts w:asciiTheme="majorHAnsi" w:hAnsiTheme="majorHAnsi"/>
        </w:rPr>
      </w:pPr>
    </w:p>
    <w:p w14:paraId="05052D3C" w14:textId="77777777" w:rsidR="005E6DA2" w:rsidRDefault="005E6DA2" w:rsidP="002B4138">
      <w:pPr>
        <w:pStyle w:val="Sinespaciado"/>
        <w:spacing w:before="100" w:beforeAutospacing="1" w:after="200"/>
        <w:jc w:val="both"/>
        <w:rPr>
          <w:rFonts w:asciiTheme="majorHAnsi" w:hAnsiTheme="majorHAnsi"/>
        </w:rPr>
      </w:pPr>
    </w:p>
    <w:p w14:paraId="32A5021C" w14:textId="77777777" w:rsidR="005E6DA2" w:rsidRDefault="005E6DA2" w:rsidP="002B4138">
      <w:pPr>
        <w:pStyle w:val="Sinespaciado"/>
        <w:spacing w:before="100" w:beforeAutospacing="1" w:after="200"/>
        <w:jc w:val="both"/>
        <w:rPr>
          <w:rFonts w:asciiTheme="majorHAnsi" w:hAnsiTheme="majorHAnsi"/>
        </w:rPr>
      </w:pPr>
    </w:p>
    <w:p w14:paraId="7F4EAAB1" w14:textId="77777777" w:rsidR="005E6DA2" w:rsidRDefault="005E6DA2" w:rsidP="002B4138">
      <w:pPr>
        <w:pStyle w:val="Sinespaciado"/>
        <w:spacing w:before="100" w:beforeAutospacing="1" w:after="200"/>
        <w:jc w:val="both"/>
        <w:rPr>
          <w:rFonts w:asciiTheme="majorHAnsi" w:hAnsiTheme="majorHAnsi"/>
        </w:rPr>
      </w:pPr>
    </w:p>
    <w:p w14:paraId="07F743E6" w14:textId="77777777" w:rsidR="005E6DA2" w:rsidRDefault="005E6DA2" w:rsidP="002B4138">
      <w:pPr>
        <w:pStyle w:val="Sinespaciado"/>
        <w:spacing w:before="100" w:beforeAutospacing="1" w:after="200"/>
        <w:jc w:val="both"/>
        <w:rPr>
          <w:rFonts w:asciiTheme="majorHAnsi" w:hAnsiTheme="majorHAnsi"/>
        </w:rPr>
      </w:pPr>
    </w:p>
    <w:p w14:paraId="33F48687" w14:textId="77777777" w:rsidR="005E6DA2" w:rsidRDefault="005E6DA2" w:rsidP="002B4138">
      <w:pPr>
        <w:pStyle w:val="Sinespaciado"/>
        <w:spacing w:before="100" w:beforeAutospacing="1" w:after="200"/>
        <w:jc w:val="both"/>
        <w:rPr>
          <w:rFonts w:asciiTheme="majorHAnsi" w:hAnsiTheme="majorHAnsi"/>
        </w:rPr>
      </w:pPr>
    </w:p>
    <w:p w14:paraId="3204D1EC" w14:textId="77777777" w:rsidR="005E6DA2" w:rsidRDefault="005E6DA2" w:rsidP="002B4138">
      <w:pPr>
        <w:pStyle w:val="Sinespaciado"/>
        <w:spacing w:before="100" w:beforeAutospacing="1" w:after="200"/>
        <w:jc w:val="both"/>
        <w:rPr>
          <w:rFonts w:asciiTheme="majorHAnsi" w:hAnsiTheme="majorHAnsi"/>
        </w:rPr>
      </w:pPr>
    </w:p>
    <w:p w14:paraId="7DF6295E" w14:textId="77777777" w:rsidR="005E6DA2" w:rsidRDefault="005E6DA2" w:rsidP="002B4138">
      <w:pPr>
        <w:pStyle w:val="Sinespaciado"/>
        <w:spacing w:before="100" w:beforeAutospacing="1" w:after="200"/>
        <w:jc w:val="both"/>
        <w:rPr>
          <w:rFonts w:asciiTheme="majorHAnsi" w:hAnsiTheme="majorHAnsi"/>
        </w:rPr>
      </w:pPr>
    </w:p>
    <w:p w14:paraId="679DE4CC" w14:textId="77777777" w:rsidR="005E6DA2" w:rsidRDefault="005E6DA2" w:rsidP="00135742">
      <w:pPr>
        <w:pStyle w:val="Sinespaciado"/>
        <w:jc w:val="both"/>
        <w:rPr>
          <w:rFonts w:asciiTheme="majorHAnsi" w:hAnsiTheme="majorHAnsi"/>
        </w:rPr>
      </w:pPr>
    </w:p>
    <w:p w14:paraId="12D2BA5D" w14:textId="753FA4CA" w:rsidR="00BA3B09" w:rsidRPr="00A73608" w:rsidRDefault="00A23C60" w:rsidP="00EA162D">
      <w:pPr>
        <w:pStyle w:val="Ttulo1"/>
        <w:numPr>
          <w:ilvl w:val="0"/>
          <w:numId w:val="14"/>
        </w:numPr>
        <w:spacing w:before="0"/>
      </w:pPr>
      <w:bookmarkStart w:id="4" w:name="_Toc4680859"/>
      <w:r w:rsidRPr="00A73608">
        <w:lastRenderedPageBreak/>
        <w:t>Diagnóstico</w:t>
      </w:r>
      <w:bookmarkEnd w:id="4"/>
    </w:p>
    <w:p w14:paraId="39443EED" w14:textId="77777777" w:rsidR="00AA2992" w:rsidRPr="006F4CAF" w:rsidRDefault="00AA2992" w:rsidP="006F4CAF">
      <w:pPr>
        <w:spacing w:after="240" w:line="240" w:lineRule="auto"/>
        <w:jc w:val="both"/>
        <w:rPr>
          <w:rFonts w:asciiTheme="majorHAnsi" w:hAnsiTheme="majorHAnsi"/>
        </w:rPr>
      </w:pPr>
    </w:p>
    <w:p w14:paraId="71CC0810" w14:textId="3806BB68" w:rsidR="006D2769" w:rsidRPr="006F4CAF" w:rsidRDefault="006B5290" w:rsidP="00EA162D">
      <w:pPr>
        <w:pStyle w:val="Prrafodelista"/>
        <w:numPr>
          <w:ilvl w:val="1"/>
          <w:numId w:val="14"/>
        </w:numPr>
        <w:spacing w:after="240" w:line="240" w:lineRule="auto"/>
        <w:jc w:val="both"/>
        <w:rPr>
          <w:rFonts w:asciiTheme="majorHAnsi" w:hAnsiTheme="majorHAnsi"/>
          <w:b/>
        </w:rPr>
      </w:pPr>
      <w:r w:rsidRPr="006F4CAF">
        <w:rPr>
          <w:rFonts w:asciiTheme="majorHAnsi" w:hAnsiTheme="majorHAnsi"/>
          <w:b/>
        </w:rPr>
        <w:t xml:space="preserve">Problema principal. </w:t>
      </w:r>
      <w:r w:rsidR="006D2769" w:rsidRPr="006F4CAF">
        <w:rPr>
          <w:rFonts w:asciiTheme="majorHAnsi" w:hAnsiTheme="majorHAnsi"/>
          <w:b/>
        </w:rPr>
        <w:t xml:space="preserve">Limitada cobertura en la prestación de los servicios integrales de </w:t>
      </w:r>
      <w:r w:rsidRPr="006F4CAF">
        <w:rPr>
          <w:rFonts w:asciiTheme="majorHAnsi" w:hAnsiTheme="majorHAnsi"/>
          <w:b/>
        </w:rPr>
        <w:t>Asistencia Técnica Agropecuaria (ATA)</w:t>
      </w:r>
    </w:p>
    <w:p w14:paraId="5CEF27B8" w14:textId="6F8E560D" w:rsidR="006D2769" w:rsidRPr="00BA435B" w:rsidRDefault="006D2769" w:rsidP="006F4CAF">
      <w:pPr>
        <w:spacing w:after="240" w:line="240" w:lineRule="auto"/>
        <w:jc w:val="both"/>
        <w:rPr>
          <w:rFonts w:asciiTheme="majorHAnsi" w:hAnsiTheme="majorHAnsi" w:cs="Calibri"/>
        </w:rPr>
      </w:pPr>
      <w:r w:rsidRPr="00A73608">
        <w:rPr>
          <w:rFonts w:asciiTheme="majorHAnsi" w:hAnsiTheme="majorHAnsi" w:cs="Calibri"/>
        </w:rPr>
        <w:t xml:space="preserve">El Censo </w:t>
      </w:r>
      <w:r w:rsidRPr="00BA435B">
        <w:rPr>
          <w:rFonts w:asciiTheme="majorHAnsi" w:hAnsiTheme="majorHAnsi" w:cs="Calibri"/>
        </w:rPr>
        <w:t>registra que el 16</w:t>
      </w:r>
      <w:r w:rsidR="00F51CFD" w:rsidRPr="00BA435B">
        <w:rPr>
          <w:rFonts w:asciiTheme="majorHAnsi" w:hAnsiTheme="majorHAnsi" w:cs="Calibri"/>
        </w:rPr>
        <w:t>,</w:t>
      </w:r>
      <w:r w:rsidRPr="00BA435B">
        <w:rPr>
          <w:rFonts w:asciiTheme="majorHAnsi" w:hAnsiTheme="majorHAnsi" w:cs="Calibri"/>
        </w:rPr>
        <w:t>5% de las Unidades Productoras Agropecuarias</w:t>
      </w:r>
      <w:r w:rsidRPr="00BA435B">
        <w:rPr>
          <w:rStyle w:val="Refdenotaalpie"/>
          <w:rFonts w:asciiTheme="majorHAnsi" w:hAnsiTheme="majorHAnsi" w:cs="Calibri"/>
        </w:rPr>
        <w:footnoteReference w:id="3"/>
      </w:r>
      <w:r w:rsidRPr="00BA435B">
        <w:rPr>
          <w:rFonts w:asciiTheme="majorHAnsi" w:hAnsiTheme="majorHAnsi" w:cs="Calibri"/>
          <w:position w:val="6"/>
        </w:rPr>
        <w:t xml:space="preserve"> </w:t>
      </w:r>
      <w:r w:rsidRPr="00BA435B">
        <w:rPr>
          <w:rFonts w:asciiTheme="majorHAnsi" w:hAnsiTheme="majorHAnsi" w:cs="Calibri"/>
        </w:rPr>
        <w:t xml:space="preserve">(UPA) del área rural dispersa censada declararon recibir asistencia técnica. </w:t>
      </w:r>
      <w:r w:rsidR="00DD7E24" w:rsidRPr="00BA435B">
        <w:rPr>
          <w:rFonts w:asciiTheme="majorHAnsi" w:hAnsiTheme="majorHAnsi" w:cs="Calibri"/>
        </w:rPr>
        <w:t>De igual forma,</w:t>
      </w:r>
      <w:r w:rsidR="00664040" w:rsidRPr="00BA435B">
        <w:rPr>
          <w:rFonts w:asciiTheme="majorHAnsi" w:hAnsiTheme="majorHAnsi" w:cs="Calibri"/>
        </w:rPr>
        <w:t xml:space="preserve"> el censo registra que</w:t>
      </w:r>
      <w:r w:rsidR="00DD7E24" w:rsidRPr="00BA435B">
        <w:rPr>
          <w:rFonts w:asciiTheme="majorHAnsi" w:hAnsiTheme="majorHAnsi" w:cs="Calibri"/>
        </w:rPr>
        <w:t xml:space="preserve"> </w:t>
      </w:r>
      <w:r w:rsidR="00DD7E24" w:rsidRPr="00BA435B">
        <w:rPr>
          <w:rFonts w:asciiTheme="majorHAnsi" w:hAnsiTheme="majorHAnsi"/>
        </w:rPr>
        <w:t>el 16% de esta población</w:t>
      </w:r>
      <w:r w:rsidR="00664040" w:rsidRPr="00BA435B">
        <w:rPr>
          <w:rFonts w:asciiTheme="majorHAnsi" w:hAnsiTheme="majorHAnsi"/>
        </w:rPr>
        <w:t xml:space="preserve"> de la ACFC</w:t>
      </w:r>
      <w:r w:rsidR="00DD7E24" w:rsidRPr="00BA435B">
        <w:rPr>
          <w:rFonts w:asciiTheme="majorHAnsi" w:hAnsiTheme="majorHAnsi"/>
        </w:rPr>
        <w:t xml:space="preserve"> ha recibido asistencia técnica, es decir, se atendieron 502.009 personas.</w:t>
      </w:r>
      <w:r w:rsidR="00664040" w:rsidRPr="00BA435B">
        <w:rPr>
          <w:rFonts w:asciiTheme="majorHAnsi" w:hAnsiTheme="majorHAnsi"/>
        </w:rPr>
        <w:t xml:space="preserve"> </w:t>
      </w:r>
      <w:r w:rsidRPr="00BA435B">
        <w:rPr>
          <w:rFonts w:asciiTheme="majorHAnsi" w:hAnsiTheme="majorHAnsi" w:cs="Calibri"/>
        </w:rPr>
        <w:t>Los productores residentes de UPA de menos de 50 hectáreas, recibieron una porción mayor de asistencia</w:t>
      </w:r>
      <w:r w:rsidRPr="00BA435B">
        <w:rPr>
          <w:rFonts w:asciiTheme="majorHAnsi" w:hAnsiTheme="majorHAnsi" w:cs="Calibri"/>
          <w:spacing w:val="-7"/>
        </w:rPr>
        <w:t xml:space="preserve"> </w:t>
      </w:r>
      <w:r w:rsidRPr="00BA435B">
        <w:rPr>
          <w:rFonts w:asciiTheme="majorHAnsi" w:hAnsiTheme="majorHAnsi" w:cs="Calibri"/>
        </w:rPr>
        <w:t>técnica,</w:t>
      </w:r>
      <w:r w:rsidRPr="00BA435B">
        <w:rPr>
          <w:rFonts w:asciiTheme="majorHAnsi" w:hAnsiTheme="majorHAnsi" w:cs="Calibri"/>
          <w:spacing w:val="-8"/>
        </w:rPr>
        <w:t xml:space="preserve"> </w:t>
      </w:r>
      <w:r w:rsidRPr="00BA435B">
        <w:rPr>
          <w:rFonts w:asciiTheme="majorHAnsi" w:hAnsiTheme="majorHAnsi" w:cs="Calibri"/>
        </w:rPr>
        <w:t>mientras</w:t>
      </w:r>
      <w:r w:rsidRPr="00BA435B">
        <w:rPr>
          <w:rFonts w:asciiTheme="majorHAnsi" w:hAnsiTheme="majorHAnsi" w:cs="Calibri"/>
          <w:spacing w:val="-6"/>
        </w:rPr>
        <w:t xml:space="preserve"> </w:t>
      </w:r>
      <w:r w:rsidRPr="00BA435B">
        <w:rPr>
          <w:rFonts w:asciiTheme="majorHAnsi" w:hAnsiTheme="majorHAnsi" w:cs="Calibri"/>
        </w:rPr>
        <w:t>que</w:t>
      </w:r>
      <w:r w:rsidRPr="00BA435B">
        <w:rPr>
          <w:rFonts w:asciiTheme="majorHAnsi" w:hAnsiTheme="majorHAnsi" w:cs="Calibri"/>
          <w:spacing w:val="-7"/>
        </w:rPr>
        <w:t xml:space="preserve"> </w:t>
      </w:r>
      <w:r w:rsidRPr="00BA435B">
        <w:rPr>
          <w:rFonts w:asciiTheme="majorHAnsi" w:hAnsiTheme="majorHAnsi" w:cs="Calibri"/>
        </w:rPr>
        <w:t>para</w:t>
      </w:r>
      <w:r w:rsidRPr="00BA435B">
        <w:rPr>
          <w:rFonts w:asciiTheme="majorHAnsi" w:hAnsiTheme="majorHAnsi" w:cs="Calibri"/>
          <w:spacing w:val="-7"/>
        </w:rPr>
        <w:t xml:space="preserve"> </w:t>
      </w:r>
      <w:r w:rsidRPr="00BA435B">
        <w:rPr>
          <w:rFonts w:asciiTheme="majorHAnsi" w:hAnsiTheme="majorHAnsi" w:cs="Calibri"/>
        </w:rPr>
        <w:t>los</w:t>
      </w:r>
      <w:r w:rsidRPr="00BA435B">
        <w:rPr>
          <w:rFonts w:asciiTheme="majorHAnsi" w:hAnsiTheme="majorHAnsi" w:cs="Calibri"/>
          <w:spacing w:val="-7"/>
        </w:rPr>
        <w:t xml:space="preserve"> </w:t>
      </w:r>
      <w:r w:rsidRPr="00BA435B">
        <w:rPr>
          <w:rFonts w:asciiTheme="majorHAnsi" w:hAnsiTheme="majorHAnsi" w:cs="Calibri"/>
        </w:rPr>
        <w:t>no</w:t>
      </w:r>
      <w:r w:rsidRPr="00BA435B">
        <w:rPr>
          <w:rFonts w:asciiTheme="majorHAnsi" w:hAnsiTheme="majorHAnsi" w:cs="Calibri"/>
          <w:spacing w:val="-10"/>
        </w:rPr>
        <w:t xml:space="preserve"> </w:t>
      </w:r>
      <w:r w:rsidRPr="00BA435B">
        <w:rPr>
          <w:rFonts w:asciiTheme="majorHAnsi" w:hAnsiTheme="majorHAnsi" w:cs="Calibri"/>
        </w:rPr>
        <w:t>residentes,</w:t>
      </w:r>
      <w:r w:rsidRPr="00BA435B">
        <w:rPr>
          <w:rFonts w:asciiTheme="majorHAnsi" w:hAnsiTheme="majorHAnsi" w:cs="Calibri"/>
          <w:spacing w:val="-8"/>
        </w:rPr>
        <w:t xml:space="preserve"> </w:t>
      </w:r>
      <w:r w:rsidRPr="00BA435B">
        <w:rPr>
          <w:rFonts w:asciiTheme="majorHAnsi" w:hAnsiTheme="majorHAnsi" w:cs="Calibri"/>
        </w:rPr>
        <w:t>la</w:t>
      </w:r>
      <w:r w:rsidRPr="00BA435B">
        <w:rPr>
          <w:rFonts w:asciiTheme="majorHAnsi" w:hAnsiTheme="majorHAnsi" w:cs="Calibri"/>
          <w:spacing w:val="-7"/>
        </w:rPr>
        <w:t xml:space="preserve"> </w:t>
      </w:r>
      <w:r w:rsidRPr="00BA435B">
        <w:rPr>
          <w:rFonts w:asciiTheme="majorHAnsi" w:hAnsiTheme="majorHAnsi" w:cs="Calibri"/>
        </w:rPr>
        <w:t>ATA</w:t>
      </w:r>
      <w:r w:rsidRPr="00BA435B">
        <w:rPr>
          <w:rFonts w:asciiTheme="majorHAnsi" w:hAnsiTheme="majorHAnsi" w:cs="Calibri"/>
          <w:spacing w:val="-10"/>
        </w:rPr>
        <w:t xml:space="preserve"> </w:t>
      </w:r>
      <w:r w:rsidRPr="00BA435B">
        <w:rPr>
          <w:rFonts w:asciiTheme="majorHAnsi" w:hAnsiTheme="majorHAnsi" w:cs="Calibri"/>
        </w:rPr>
        <w:t>se</w:t>
      </w:r>
      <w:r w:rsidRPr="00BA435B">
        <w:rPr>
          <w:rFonts w:asciiTheme="majorHAnsi" w:hAnsiTheme="majorHAnsi" w:cs="Calibri"/>
          <w:spacing w:val="-7"/>
        </w:rPr>
        <w:t xml:space="preserve"> </w:t>
      </w:r>
      <w:r w:rsidRPr="00BA435B">
        <w:rPr>
          <w:rFonts w:asciiTheme="majorHAnsi" w:hAnsiTheme="majorHAnsi" w:cs="Calibri"/>
        </w:rPr>
        <w:t>recibió</w:t>
      </w:r>
      <w:r w:rsidRPr="00BA435B">
        <w:rPr>
          <w:rFonts w:asciiTheme="majorHAnsi" w:hAnsiTheme="majorHAnsi" w:cs="Calibri"/>
          <w:spacing w:val="-10"/>
        </w:rPr>
        <w:t xml:space="preserve"> </w:t>
      </w:r>
      <w:r w:rsidRPr="00BA435B">
        <w:rPr>
          <w:rFonts w:asciiTheme="majorHAnsi" w:hAnsiTheme="majorHAnsi" w:cs="Calibri"/>
        </w:rPr>
        <w:t>en</w:t>
      </w:r>
      <w:r w:rsidRPr="00BA435B">
        <w:rPr>
          <w:rFonts w:asciiTheme="majorHAnsi" w:hAnsiTheme="majorHAnsi" w:cs="Calibri"/>
          <w:spacing w:val="-7"/>
        </w:rPr>
        <w:t xml:space="preserve"> </w:t>
      </w:r>
      <w:r w:rsidRPr="00BA435B">
        <w:rPr>
          <w:rFonts w:asciiTheme="majorHAnsi" w:hAnsiTheme="majorHAnsi" w:cs="Calibri"/>
        </w:rPr>
        <w:t>UPA</w:t>
      </w:r>
      <w:r w:rsidRPr="00BA435B">
        <w:rPr>
          <w:rFonts w:asciiTheme="majorHAnsi" w:hAnsiTheme="majorHAnsi" w:cs="Calibri"/>
          <w:spacing w:val="-12"/>
        </w:rPr>
        <w:t xml:space="preserve"> </w:t>
      </w:r>
      <w:r w:rsidRPr="00BA435B">
        <w:rPr>
          <w:rFonts w:asciiTheme="majorHAnsi" w:hAnsiTheme="majorHAnsi" w:cs="Calibri"/>
        </w:rPr>
        <w:t>de más de 100</w:t>
      </w:r>
      <w:r w:rsidRPr="00BA435B">
        <w:rPr>
          <w:rFonts w:asciiTheme="majorHAnsi" w:hAnsiTheme="majorHAnsi" w:cs="Calibri"/>
          <w:spacing w:val="-8"/>
        </w:rPr>
        <w:t xml:space="preserve"> </w:t>
      </w:r>
      <w:r w:rsidRPr="00BA435B">
        <w:rPr>
          <w:rFonts w:asciiTheme="majorHAnsi" w:hAnsiTheme="majorHAnsi" w:cs="Calibri"/>
        </w:rPr>
        <w:t>hectáreas.</w:t>
      </w:r>
      <w:r w:rsidR="00DD7E24" w:rsidRPr="00BA435B">
        <w:rPr>
          <w:rFonts w:asciiTheme="majorHAnsi" w:hAnsiTheme="majorHAnsi" w:cs="Calibri"/>
        </w:rPr>
        <w:t xml:space="preserve"> </w:t>
      </w:r>
      <w:r w:rsidR="00F51CFD" w:rsidRPr="00BA435B">
        <w:rPr>
          <w:rFonts w:asciiTheme="majorHAnsi" w:hAnsiTheme="majorHAnsi" w:cs="Calibri"/>
        </w:rPr>
        <w:t>E</w:t>
      </w:r>
      <w:r w:rsidRPr="00BA435B">
        <w:rPr>
          <w:rFonts w:asciiTheme="majorHAnsi" w:hAnsiTheme="majorHAnsi" w:cs="Calibri"/>
        </w:rPr>
        <w:t>s</w:t>
      </w:r>
      <w:r w:rsidRPr="00BA435B">
        <w:rPr>
          <w:rFonts w:asciiTheme="majorHAnsi" w:hAnsiTheme="majorHAnsi" w:cs="Calibri"/>
          <w:spacing w:val="-12"/>
        </w:rPr>
        <w:t xml:space="preserve"> </w:t>
      </w:r>
      <w:r w:rsidRPr="00BA435B">
        <w:rPr>
          <w:rFonts w:asciiTheme="majorHAnsi" w:hAnsiTheme="majorHAnsi" w:cs="Calibri"/>
        </w:rPr>
        <w:t>importante</w:t>
      </w:r>
      <w:r w:rsidRPr="00BA435B">
        <w:rPr>
          <w:rFonts w:asciiTheme="majorHAnsi" w:hAnsiTheme="majorHAnsi" w:cs="Calibri"/>
          <w:spacing w:val="-15"/>
        </w:rPr>
        <w:t xml:space="preserve"> </w:t>
      </w:r>
      <w:r w:rsidRPr="00BA435B">
        <w:rPr>
          <w:rFonts w:asciiTheme="majorHAnsi" w:hAnsiTheme="majorHAnsi" w:cs="Calibri"/>
        </w:rPr>
        <w:t>mencionar</w:t>
      </w:r>
      <w:r w:rsidRPr="00BA435B">
        <w:rPr>
          <w:rFonts w:asciiTheme="majorHAnsi" w:hAnsiTheme="majorHAnsi" w:cs="Calibri"/>
          <w:spacing w:val="-13"/>
        </w:rPr>
        <w:t xml:space="preserve"> </w:t>
      </w:r>
      <w:r w:rsidRPr="00BA435B">
        <w:rPr>
          <w:rFonts w:asciiTheme="majorHAnsi" w:hAnsiTheme="majorHAnsi" w:cs="Calibri"/>
        </w:rPr>
        <w:t>que</w:t>
      </w:r>
      <w:r w:rsidRPr="00BA435B">
        <w:rPr>
          <w:rFonts w:asciiTheme="majorHAnsi" w:hAnsiTheme="majorHAnsi" w:cs="Calibri"/>
          <w:spacing w:val="-12"/>
        </w:rPr>
        <w:t xml:space="preserve"> </w:t>
      </w:r>
      <w:r w:rsidRPr="00BA435B">
        <w:rPr>
          <w:rFonts w:asciiTheme="majorHAnsi" w:hAnsiTheme="majorHAnsi" w:cs="Calibri"/>
        </w:rPr>
        <w:t>no</w:t>
      </w:r>
      <w:r w:rsidRPr="00BA435B">
        <w:rPr>
          <w:rFonts w:asciiTheme="majorHAnsi" w:hAnsiTheme="majorHAnsi" w:cs="Calibri"/>
          <w:spacing w:val="-14"/>
        </w:rPr>
        <w:t xml:space="preserve"> </w:t>
      </w:r>
      <w:r w:rsidRPr="00BA435B">
        <w:rPr>
          <w:rFonts w:asciiTheme="majorHAnsi" w:hAnsiTheme="majorHAnsi" w:cs="Calibri"/>
        </w:rPr>
        <w:t>existe</w:t>
      </w:r>
      <w:r w:rsidRPr="00BA435B">
        <w:rPr>
          <w:rFonts w:asciiTheme="majorHAnsi" w:hAnsiTheme="majorHAnsi" w:cs="Calibri"/>
          <w:spacing w:val="-13"/>
        </w:rPr>
        <w:t xml:space="preserve"> </w:t>
      </w:r>
      <w:r w:rsidRPr="00BA435B">
        <w:rPr>
          <w:rFonts w:asciiTheme="majorHAnsi" w:hAnsiTheme="majorHAnsi" w:cs="Calibri"/>
        </w:rPr>
        <w:t>una</w:t>
      </w:r>
      <w:r w:rsidRPr="00BA435B">
        <w:rPr>
          <w:rFonts w:asciiTheme="majorHAnsi" w:hAnsiTheme="majorHAnsi" w:cs="Calibri"/>
          <w:spacing w:val="-13"/>
        </w:rPr>
        <w:t xml:space="preserve"> </w:t>
      </w:r>
      <w:r w:rsidRPr="00BA435B">
        <w:rPr>
          <w:rFonts w:asciiTheme="majorHAnsi" w:hAnsiTheme="majorHAnsi" w:cs="Calibri"/>
        </w:rPr>
        <w:t>estimación</w:t>
      </w:r>
      <w:r w:rsidRPr="00BA435B">
        <w:rPr>
          <w:rFonts w:asciiTheme="majorHAnsi" w:hAnsiTheme="majorHAnsi" w:cs="Calibri"/>
          <w:spacing w:val="-14"/>
        </w:rPr>
        <w:t xml:space="preserve"> </w:t>
      </w:r>
      <w:r w:rsidRPr="00BA435B">
        <w:rPr>
          <w:rFonts w:asciiTheme="majorHAnsi" w:hAnsiTheme="majorHAnsi" w:cs="Calibri"/>
        </w:rPr>
        <w:t>que</w:t>
      </w:r>
      <w:r w:rsidRPr="00BA435B">
        <w:rPr>
          <w:rFonts w:asciiTheme="majorHAnsi" w:hAnsiTheme="majorHAnsi" w:cs="Calibri"/>
          <w:spacing w:val="-13"/>
        </w:rPr>
        <w:t xml:space="preserve"> </w:t>
      </w:r>
      <w:r w:rsidRPr="00BA435B">
        <w:rPr>
          <w:rFonts w:asciiTheme="majorHAnsi" w:hAnsiTheme="majorHAnsi" w:cs="Calibri"/>
        </w:rPr>
        <w:t>establezca</w:t>
      </w:r>
      <w:r w:rsidR="00F560F3" w:rsidRPr="00BA435B">
        <w:rPr>
          <w:rFonts w:asciiTheme="majorHAnsi" w:hAnsiTheme="majorHAnsi" w:cs="Calibri"/>
          <w:spacing w:val="-14"/>
        </w:rPr>
        <w:t xml:space="preserve"> la </w:t>
      </w:r>
      <w:r w:rsidRPr="00BA435B">
        <w:rPr>
          <w:rFonts w:asciiTheme="majorHAnsi" w:hAnsiTheme="majorHAnsi" w:cs="Calibri"/>
        </w:rPr>
        <w:t xml:space="preserve">cantidad </w:t>
      </w:r>
      <w:r w:rsidR="00F560F3" w:rsidRPr="00BA435B">
        <w:rPr>
          <w:rFonts w:asciiTheme="majorHAnsi" w:hAnsiTheme="majorHAnsi" w:cs="Calibri"/>
        </w:rPr>
        <w:t>de productores que</w:t>
      </w:r>
      <w:r w:rsidRPr="00BA435B">
        <w:rPr>
          <w:rFonts w:asciiTheme="majorHAnsi" w:hAnsiTheme="majorHAnsi" w:cs="Calibri"/>
        </w:rPr>
        <w:t xml:space="preserve"> demanda estos servicios, es decir, no se cuenta con un cálculo de demanda</w:t>
      </w:r>
      <w:r w:rsidRPr="00BA435B">
        <w:rPr>
          <w:rFonts w:asciiTheme="majorHAnsi" w:hAnsiTheme="majorHAnsi" w:cs="Calibri"/>
          <w:spacing w:val="-13"/>
        </w:rPr>
        <w:t xml:space="preserve"> </w:t>
      </w:r>
      <w:r w:rsidRPr="00BA435B">
        <w:rPr>
          <w:rFonts w:asciiTheme="majorHAnsi" w:hAnsiTheme="majorHAnsi" w:cs="Calibri"/>
        </w:rPr>
        <w:t>potencial.</w:t>
      </w:r>
    </w:p>
    <w:p w14:paraId="6DCA55C2" w14:textId="07764CA6" w:rsidR="006D2769" w:rsidRPr="00BA435B" w:rsidRDefault="006D2769" w:rsidP="001973C5">
      <w:pPr>
        <w:pStyle w:val="Textoindependiente"/>
        <w:ind w:right="49"/>
        <w:jc w:val="both"/>
        <w:rPr>
          <w:rFonts w:asciiTheme="majorHAnsi" w:hAnsiTheme="majorHAnsi" w:cs="Calibri"/>
          <w:lang w:val="es-CO"/>
        </w:rPr>
      </w:pPr>
      <w:r w:rsidRPr="00BA435B">
        <w:rPr>
          <w:rFonts w:asciiTheme="majorHAnsi" w:hAnsiTheme="majorHAnsi" w:cs="Calibri"/>
          <w:lang w:val="es-CO"/>
        </w:rPr>
        <w:t xml:space="preserve">El </w:t>
      </w:r>
      <w:r w:rsidR="001D094D" w:rsidRPr="00BA435B">
        <w:rPr>
          <w:rFonts w:asciiTheme="majorHAnsi" w:hAnsiTheme="majorHAnsi" w:cs="Calibri"/>
          <w:lang w:val="es-CO"/>
        </w:rPr>
        <w:t>siguiente cuadro</w:t>
      </w:r>
      <w:r w:rsidRPr="00BA435B">
        <w:rPr>
          <w:rFonts w:asciiTheme="majorHAnsi" w:hAnsiTheme="majorHAnsi" w:cs="Calibri"/>
          <w:lang w:val="es-CO"/>
        </w:rPr>
        <w:t xml:space="preserve"> evidencia que</w:t>
      </w:r>
      <w:r w:rsidR="00F560F3" w:rsidRPr="00BA435B">
        <w:rPr>
          <w:rFonts w:asciiTheme="majorHAnsi" w:hAnsiTheme="majorHAnsi" w:cs="Calibri"/>
          <w:lang w:val="es-CO"/>
        </w:rPr>
        <w:t>,</w:t>
      </w:r>
      <w:r w:rsidRPr="00BA435B">
        <w:rPr>
          <w:rFonts w:asciiTheme="majorHAnsi" w:hAnsiTheme="majorHAnsi" w:cs="Calibri"/>
          <w:lang w:val="es-CO"/>
        </w:rPr>
        <w:t xml:space="preserve"> de acuerdo al universo establecido por el MADR</w:t>
      </w:r>
      <w:r w:rsidRPr="00BA435B">
        <w:rPr>
          <w:rStyle w:val="Refdenotaalpie"/>
          <w:rFonts w:asciiTheme="majorHAnsi" w:hAnsiTheme="majorHAnsi" w:cs="Calibri"/>
          <w:lang w:val="es-CO"/>
        </w:rPr>
        <w:footnoteReference w:id="4"/>
      </w:r>
      <w:r w:rsidRPr="00BA435B">
        <w:rPr>
          <w:rFonts w:asciiTheme="majorHAnsi" w:hAnsiTheme="majorHAnsi" w:cs="Calibri"/>
          <w:lang w:val="es-CO"/>
        </w:rPr>
        <w:t xml:space="preserve"> de 1.600.000 de productores en áreas rurales y rurales dispersas susceptibles de atención, se ha atendido en promedio</w:t>
      </w:r>
      <w:r w:rsidR="00F560F3" w:rsidRPr="00BA435B">
        <w:rPr>
          <w:rFonts w:asciiTheme="majorHAnsi" w:hAnsiTheme="majorHAnsi" w:cs="Calibri"/>
          <w:lang w:val="es-CO"/>
        </w:rPr>
        <w:t xml:space="preserve"> el 35,7 %</w:t>
      </w:r>
      <w:r w:rsidRPr="00BA435B">
        <w:rPr>
          <w:rFonts w:asciiTheme="majorHAnsi" w:hAnsiTheme="majorHAnsi" w:cs="Calibri"/>
          <w:lang w:val="es-CO"/>
        </w:rPr>
        <w:t xml:space="preserve"> (561.187 productores</w:t>
      </w:r>
      <w:r w:rsidR="00F560F3" w:rsidRPr="00BA435B">
        <w:rPr>
          <w:rFonts w:asciiTheme="majorHAnsi" w:hAnsiTheme="majorHAnsi" w:cs="Calibri"/>
          <w:lang w:val="es-CO"/>
        </w:rPr>
        <w:t>) en los últimos 4 años</w:t>
      </w:r>
      <w:r w:rsidRPr="00BA435B">
        <w:rPr>
          <w:rFonts w:asciiTheme="majorHAnsi" w:hAnsiTheme="majorHAnsi" w:cs="Calibri"/>
          <w:lang w:val="es-CO"/>
        </w:rPr>
        <w:t>.</w:t>
      </w:r>
      <w:r w:rsidR="003E5C40" w:rsidRPr="00BA435B">
        <w:rPr>
          <w:rFonts w:asciiTheme="majorHAnsi" w:hAnsiTheme="majorHAnsi" w:cs="Calibri"/>
          <w:lang w:val="es-CO"/>
        </w:rPr>
        <w:t xml:space="preserve"> </w:t>
      </w:r>
      <w:r w:rsidRPr="00BA435B">
        <w:rPr>
          <w:rFonts w:asciiTheme="majorHAnsi" w:hAnsiTheme="majorHAnsi" w:cs="Calibri"/>
          <w:lang w:val="es-CO"/>
        </w:rPr>
        <w:t xml:space="preserve"> </w:t>
      </w:r>
    </w:p>
    <w:p w14:paraId="0648E2D3" w14:textId="77777777" w:rsidR="006D2769" w:rsidRPr="00BA435B" w:rsidRDefault="006D2769" w:rsidP="006D2769">
      <w:pPr>
        <w:pStyle w:val="Textoindependiente"/>
        <w:ind w:left="122" w:right="49"/>
        <w:jc w:val="both"/>
        <w:rPr>
          <w:rFonts w:asciiTheme="majorHAnsi" w:hAnsiTheme="majorHAnsi" w:cs="Calibri"/>
          <w:lang w:val="es-CO"/>
        </w:rPr>
      </w:pPr>
    </w:p>
    <w:p w14:paraId="275DB228" w14:textId="77777777" w:rsidR="00AC0D2D" w:rsidRPr="00A73608" w:rsidRDefault="00AC0D2D" w:rsidP="006D2769">
      <w:pPr>
        <w:pStyle w:val="Textoindependiente"/>
        <w:ind w:left="122" w:right="49"/>
        <w:jc w:val="both"/>
        <w:rPr>
          <w:rFonts w:asciiTheme="majorHAnsi" w:hAnsiTheme="majorHAnsi" w:cs="Calibri"/>
          <w:lang w:val="es-CO"/>
        </w:rPr>
      </w:pPr>
    </w:p>
    <w:p w14:paraId="35326922" w14:textId="4A34AC9A" w:rsidR="006D2769" w:rsidRPr="00A73608" w:rsidRDefault="00A73608" w:rsidP="00B036A2">
      <w:pPr>
        <w:jc w:val="center"/>
        <w:rPr>
          <w:rFonts w:asciiTheme="majorHAnsi" w:hAnsiTheme="majorHAnsi" w:cstheme="majorHAnsi"/>
        </w:rPr>
      </w:pPr>
      <w:r w:rsidRPr="00A73608">
        <w:rPr>
          <w:rFonts w:asciiTheme="majorHAnsi" w:hAnsiTheme="majorHAnsi" w:cstheme="majorHAnsi"/>
          <w:b/>
        </w:rPr>
        <w:t>Tabla 3.</w:t>
      </w:r>
      <w:r w:rsidRPr="00A73608">
        <w:rPr>
          <w:rFonts w:asciiTheme="majorHAnsi" w:hAnsiTheme="majorHAnsi" w:cstheme="majorHAnsi"/>
        </w:rPr>
        <w:t xml:space="preserve"> </w:t>
      </w:r>
      <w:r w:rsidR="006D2769" w:rsidRPr="00A73608">
        <w:rPr>
          <w:rFonts w:asciiTheme="majorHAnsi" w:hAnsiTheme="majorHAnsi" w:cstheme="majorHAnsi"/>
        </w:rPr>
        <w:t xml:space="preserve">Agricultores </w:t>
      </w:r>
      <w:r w:rsidR="00891CC9" w:rsidRPr="00A73608">
        <w:rPr>
          <w:rFonts w:asciiTheme="majorHAnsi" w:hAnsiTheme="majorHAnsi" w:cstheme="majorHAnsi"/>
        </w:rPr>
        <w:t xml:space="preserve">beneficiarios del servicio </w:t>
      </w:r>
      <w:r w:rsidR="006D2769" w:rsidRPr="00A73608">
        <w:rPr>
          <w:rFonts w:asciiTheme="majorHAnsi" w:hAnsiTheme="majorHAnsi" w:cstheme="majorHAnsi"/>
        </w:rPr>
        <w:t>ATA</w:t>
      </w:r>
      <w:r w:rsidR="00891CC9" w:rsidRPr="00A73608">
        <w:rPr>
          <w:rFonts w:asciiTheme="majorHAnsi" w:hAnsiTheme="majorHAnsi" w:cstheme="majorHAnsi"/>
        </w:rPr>
        <w:t xml:space="preserve"> entre</w:t>
      </w:r>
      <w:r w:rsidR="006D2769" w:rsidRPr="00A73608">
        <w:rPr>
          <w:rFonts w:asciiTheme="majorHAnsi" w:hAnsiTheme="majorHAnsi" w:cstheme="majorHAnsi"/>
        </w:rPr>
        <w:t xml:space="preserve"> 2012</w:t>
      </w:r>
      <w:r w:rsidR="00891CC9" w:rsidRPr="00A73608">
        <w:rPr>
          <w:rFonts w:asciiTheme="majorHAnsi" w:hAnsiTheme="majorHAnsi" w:cstheme="majorHAnsi"/>
        </w:rPr>
        <w:t xml:space="preserve"> y </w:t>
      </w:r>
      <w:r w:rsidR="0036422B" w:rsidRPr="00A73608">
        <w:rPr>
          <w:rFonts w:asciiTheme="majorHAnsi" w:hAnsiTheme="majorHAnsi" w:cstheme="majorHAnsi"/>
        </w:rPr>
        <w:t>2016</w:t>
      </w:r>
      <w:r w:rsidR="00891CC9" w:rsidRPr="00A73608">
        <w:rPr>
          <w:rFonts w:asciiTheme="majorHAnsi" w:hAnsiTheme="majorHAnsi" w:cstheme="majorHAnsi"/>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959"/>
        <w:gridCol w:w="926"/>
        <w:gridCol w:w="926"/>
        <w:gridCol w:w="926"/>
        <w:gridCol w:w="926"/>
        <w:gridCol w:w="1130"/>
        <w:gridCol w:w="2025"/>
      </w:tblGrid>
      <w:tr w:rsidR="0036422B" w:rsidRPr="00A73608" w14:paraId="53C77FF3" w14:textId="77777777" w:rsidTr="0036422B">
        <w:trPr>
          <w:trHeight w:val="20"/>
        </w:trPr>
        <w:tc>
          <w:tcPr>
            <w:tcW w:w="1111" w:type="pct"/>
            <w:shd w:val="clear" w:color="auto" w:fill="9CC2E5" w:themeFill="accent5" w:themeFillTint="99"/>
            <w:vAlign w:val="center"/>
          </w:tcPr>
          <w:p w14:paraId="69F804D5" w14:textId="6CF400CA" w:rsidR="0036422B" w:rsidRPr="00A73608" w:rsidRDefault="0036422B" w:rsidP="00B036A2">
            <w:pPr>
              <w:pStyle w:val="TableParagraph"/>
              <w:ind w:left="131" w:right="49" w:hanging="3"/>
              <w:jc w:val="center"/>
              <w:rPr>
                <w:rFonts w:asciiTheme="majorHAnsi" w:hAnsiTheme="majorHAnsi" w:cs="Calibri"/>
                <w:b/>
                <w:sz w:val="18"/>
                <w:szCs w:val="18"/>
                <w:lang w:val="es-CO"/>
              </w:rPr>
            </w:pPr>
            <w:r w:rsidRPr="00A73608">
              <w:rPr>
                <w:rFonts w:asciiTheme="majorHAnsi" w:hAnsiTheme="majorHAnsi" w:cs="Calibri"/>
                <w:b/>
                <w:sz w:val="18"/>
                <w:szCs w:val="18"/>
                <w:lang w:val="es-CO"/>
              </w:rPr>
              <w:t>Tipo de ATA</w:t>
            </w:r>
          </w:p>
        </w:tc>
        <w:tc>
          <w:tcPr>
            <w:tcW w:w="525" w:type="pct"/>
            <w:shd w:val="clear" w:color="auto" w:fill="9CC2E5" w:themeFill="accent5" w:themeFillTint="99"/>
            <w:vAlign w:val="center"/>
          </w:tcPr>
          <w:p w14:paraId="6ADE4428" w14:textId="77777777" w:rsidR="0036422B" w:rsidRPr="00A73608" w:rsidRDefault="0036422B" w:rsidP="00B036A2">
            <w:pPr>
              <w:pStyle w:val="TableParagraph"/>
              <w:ind w:right="49"/>
              <w:jc w:val="center"/>
              <w:rPr>
                <w:rFonts w:asciiTheme="majorHAnsi" w:hAnsiTheme="majorHAnsi" w:cs="Calibri"/>
                <w:b/>
                <w:sz w:val="18"/>
                <w:szCs w:val="18"/>
              </w:rPr>
            </w:pPr>
            <w:r w:rsidRPr="00A73608">
              <w:rPr>
                <w:rFonts w:asciiTheme="majorHAnsi" w:hAnsiTheme="majorHAnsi" w:cs="Calibri"/>
                <w:b/>
                <w:sz w:val="18"/>
                <w:szCs w:val="18"/>
              </w:rPr>
              <w:t>2012</w:t>
            </w:r>
          </w:p>
        </w:tc>
        <w:tc>
          <w:tcPr>
            <w:tcW w:w="525" w:type="pct"/>
            <w:shd w:val="clear" w:color="auto" w:fill="9CC2E5" w:themeFill="accent5" w:themeFillTint="99"/>
            <w:vAlign w:val="center"/>
          </w:tcPr>
          <w:p w14:paraId="6BE99822" w14:textId="77777777" w:rsidR="0036422B" w:rsidRPr="00A73608" w:rsidRDefault="0036422B" w:rsidP="00B036A2">
            <w:pPr>
              <w:pStyle w:val="TableParagraph"/>
              <w:ind w:right="49"/>
              <w:jc w:val="center"/>
              <w:rPr>
                <w:rFonts w:asciiTheme="majorHAnsi" w:hAnsiTheme="majorHAnsi" w:cs="Calibri"/>
                <w:b/>
                <w:sz w:val="18"/>
                <w:szCs w:val="18"/>
              </w:rPr>
            </w:pPr>
            <w:r w:rsidRPr="00A73608">
              <w:rPr>
                <w:rFonts w:asciiTheme="majorHAnsi" w:hAnsiTheme="majorHAnsi" w:cs="Calibri"/>
                <w:b/>
                <w:sz w:val="18"/>
                <w:szCs w:val="18"/>
              </w:rPr>
              <w:t xml:space="preserve"> 2013</w:t>
            </w:r>
          </w:p>
        </w:tc>
        <w:tc>
          <w:tcPr>
            <w:tcW w:w="525" w:type="pct"/>
            <w:shd w:val="clear" w:color="auto" w:fill="9CC2E5" w:themeFill="accent5" w:themeFillTint="99"/>
            <w:vAlign w:val="center"/>
          </w:tcPr>
          <w:p w14:paraId="7B7E35E0" w14:textId="77777777" w:rsidR="0036422B" w:rsidRPr="00A73608" w:rsidRDefault="0036422B" w:rsidP="00B036A2">
            <w:pPr>
              <w:pStyle w:val="TableParagraph"/>
              <w:ind w:right="49"/>
              <w:jc w:val="center"/>
              <w:rPr>
                <w:rFonts w:asciiTheme="majorHAnsi" w:hAnsiTheme="majorHAnsi" w:cs="Calibri"/>
                <w:b/>
                <w:sz w:val="18"/>
                <w:szCs w:val="18"/>
              </w:rPr>
            </w:pPr>
            <w:r w:rsidRPr="00A73608">
              <w:rPr>
                <w:rFonts w:asciiTheme="majorHAnsi" w:hAnsiTheme="majorHAnsi" w:cs="Calibri"/>
                <w:b/>
                <w:sz w:val="18"/>
                <w:szCs w:val="18"/>
              </w:rPr>
              <w:t>2014</w:t>
            </w:r>
          </w:p>
        </w:tc>
        <w:tc>
          <w:tcPr>
            <w:tcW w:w="525" w:type="pct"/>
            <w:shd w:val="clear" w:color="auto" w:fill="9CC2E5" w:themeFill="accent5" w:themeFillTint="99"/>
            <w:vAlign w:val="center"/>
          </w:tcPr>
          <w:p w14:paraId="33E5D760" w14:textId="77777777" w:rsidR="0036422B" w:rsidRPr="00A73608" w:rsidRDefault="0036422B" w:rsidP="00B036A2">
            <w:pPr>
              <w:pStyle w:val="TableParagraph"/>
              <w:ind w:right="49"/>
              <w:jc w:val="center"/>
              <w:rPr>
                <w:rFonts w:asciiTheme="majorHAnsi" w:hAnsiTheme="majorHAnsi" w:cs="Calibri"/>
                <w:b/>
                <w:sz w:val="18"/>
                <w:szCs w:val="18"/>
              </w:rPr>
            </w:pPr>
            <w:r w:rsidRPr="00A73608">
              <w:rPr>
                <w:rFonts w:asciiTheme="majorHAnsi" w:hAnsiTheme="majorHAnsi" w:cs="Calibri"/>
                <w:b/>
                <w:sz w:val="18"/>
                <w:szCs w:val="18"/>
              </w:rPr>
              <w:t>2015</w:t>
            </w:r>
          </w:p>
        </w:tc>
        <w:tc>
          <w:tcPr>
            <w:tcW w:w="641" w:type="pct"/>
            <w:shd w:val="clear" w:color="auto" w:fill="9CC2E5" w:themeFill="accent5" w:themeFillTint="99"/>
          </w:tcPr>
          <w:p w14:paraId="44E72A66" w14:textId="619F97AE" w:rsidR="0036422B" w:rsidRPr="00A73608" w:rsidRDefault="0036422B" w:rsidP="00B036A2">
            <w:pPr>
              <w:pStyle w:val="TableParagraph"/>
              <w:spacing w:before="121"/>
              <w:ind w:right="49"/>
              <w:jc w:val="center"/>
              <w:rPr>
                <w:rFonts w:asciiTheme="majorHAnsi" w:hAnsiTheme="majorHAnsi" w:cs="Calibri"/>
                <w:b/>
                <w:sz w:val="18"/>
                <w:szCs w:val="18"/>
                <w:lang w:val="es-CO"/>
              </w:rPr>
            </w:pPr>
            <w:r w:rsidRPr="00A73608">
              <w:rPr>
                <w:rFonts w:asciiTheme="majorHAnsi" w:hAnsiTheme="majorHAnsi" w:cs="Calibri"/>
                <w:b/>
                <w:sz w:val="18"/>
                <w:szCs w:val="18"/>
                <w:lang w:val="es-CO"/>
              </w:rPr>
              <w:t>2016</w:t>
            </w:r>
          </w:p>
        </w:tc>
        <w:tc>
          <w:tcPr>
            <w:tcW w:w="1148" w:type="pct"/>
            <w:shd w:val="clear" w:color="auto" w:fill="9CC2E5" w:themeFill="accent5" w:themeFillTint="99"/>
            <w:vAlign w:val="center"/>
          </w:tcPr>
          <w:p w14:paraId="1384413D" w14:textId="10E1E3A7" w:rsidR="0036422B" w:rsidRPr="00A73608" w:rsidRDefault="0036422B" w:rsidP="00B036A2">
            <w:pPr>
              <w:pStyle w:val="TableParagraph"/>
              <w:spacing w:before="121"/>
              <w:ind w:right="49"/>
              <w:jc w:val="center"/>
              <w:rPr>
                <w:rFonts w:asciiTheme="majorHAnsi" w:hAnsiTheme="majorHAnsi" w:cs="Calibri"/>
                <w:b/>
                <w:spacing w:val="-1"/>
                <w:sz w:val="18"/>
                <w:szCs w:val="18"/>
                <w:lang w:val="es-CO"/>
              </w:rPr>
            </w:pPr>
            <w:r w:rsidRPr="00A73608">
              <w:rPr>
                <w:rFonts w:asciiTheme="majorHAnsi" w:hAnsiTheme="majorHAnsi" w:cs="Calibri"/>
                <w:b/>
                <w:sz w:val="18"/>
                <w:szCs w:val="18"/>
                <w:lang w:val="es-CO"/>
              </w:rPr>
              <w:t xml:space="preserve">TOTAL PRODUCTORES </w:t>
            </w:r>
            <w:r w:rsidRPr="00A73608">
              <w:rPr>
                <w:rFonts w:asciiTheme="majorHAnsi" w:hAnsiTheme="majorHAnsi" w:cs="Calibri"/>
                <w:b/>
                <w:spacing w:val="-1"/>
                <w:sz w:val="18"/>
                <w:szCs w:val="18"/>
                <w:lang w:val="es-CO"/>
              </w:rPr>
              <w:t>ATENDIDOS</w:t>
            </w:r>
          </w:p>
        </w:tc>
      </w:tr>
      <w:tr w:rsidR="0036422B" w:rsidRPr="00A73608" w14:paraId="790A0B2A" w14:textId="77777777" w:rsidTr="0036422B">
        <w:trPr>
          <w:trHeight w:val="20"/>
        </w:trPr>
        <w:tc>
          <w:tcPr>
            <w:tcW w:w="1111" w:type="pct"/>
            <w:shd w:val="clear" w:color="auto" w:fill="auto"/>
            <w:vAlign w:val="center"/>
          </w:tcPr>
          <w:p w14:paraId="27846F5C" w14:textId="77777777" w:rsidR="0036422B" w:rsidRPr="00A73608" w:rsidRDefault="0036422B" w:rsidP="00B036A2">
            <w:pPr>
              <w:pStyle w:val="TableParagraph"/>
              <w:spacing w:before="39"/>
              <w:ind w:left="60" w:right="49"/>
              <w:jc w:val="center"/>
              <w:rPr>
                <w:rFonts w:asciiTheme="majorHAnsi" w:hAnsiTheme="majorHAnsi" w:cs="Calibri"/>
                <w:sz w:val="18"/>
                <w:szCs w:val="18"/>
              </w:rPr>
            </w:pPr>
            <w:r w:rsidRPr="00A73608">
              <w:rPr>
                <w:rFonts w:asciiTheme="majorHAnsi" w:hAnsiTheme="majorHAnsi" w:cs="Calibri"/>
                <w:sz w:val="18"/>
                <w:szCs w:val="18"/>
              </w:rPr>
              <w:t>Gremial</w:t>
            </w:r>
          </w:p>
        </w:tc>
        <w:tc>
          <w:tcPr>
            <w:tcW w:w="525" w:type="pct"/>
            <w:shd w:val="clear" w:color="auto" w:fill="auto"/>
            <w:vAlign w:val="center"/>
          </w:tcPr>
          <w:p w14:paraId="1EB0ED59" w14:textId="77777777" w:rsidR="0036422B" w:rsidRPr="00A73608" w:rsidRDefault="0036422B" w:rsidP="00B036A2">
            <w:pPr>
              <w:pStyle w:val="TableParagraph"/>
              <w:spacing w:before="39"/>
              <w:ind w:right="49"/>
              <w:jc w:val="center"/>
              <w:rPr>
                <w:rFonts w:asciiTheme="majorHAnsi" w:hAnsiTheme="majorHAnsi" w:cs="Calibri"/>
                <w:sz w:val="18"/>
                <w:szCs w:val="18"/>
              </w:rPr>
            </w:pPr>
            <w:r w:rsidRPr="00A73608">
              <w:rPr>
                <w:rFonts w:asciiTheme="majorHAnsi" w:hAnsiTheme="majorHAnsi" w:cs="Calibri"/>
                <w:w w:val="99"/>
                <w:sz w:val="18"/>
                <w:szCs w:val="18"/>
              </w:rPr>
              <w:t>0</w:t>
            </w:r>
          </w:p>
        </w:tc>
        <w:tc>
          <w:tcPr>
            <w:tcW w:w="525" w:type="pct"/>
            <w:shd w:val="clear" w:color="auto" w:fill="auto"/>
            <w:vAlign w:val="center"/>
          </w:tcPr>
          <w:p w14:paraId="048E2968" w14:textId="77777777" w:rsidR="0036422B" w:rsidRPr="00A73608" w:rsidRDefault="0036422B" w:rsidP="00B036A2">
            <w:pPr>
              <w:pStyle w:val="TableParagraph"/>
              <w:spacing w:before="39"/>
              <w:ind w:left="203" w:right="49"/>
              <w:jc w:val="center"/>
              <w:rPr>
                <w:rFonts w:asciiTheme="majorHAnsi" w:hAnsiTheme="majorHAnsi" w:cs="Calibri"/>
                <w:sz w:val="18"/>
                <w:szCs w:val="18"/>
              </w:rPr>
            </w:pPr>
            <w:r w:rsidRPr="00A73608">
              <w:rPr>
                <w:rFonts w:asciiTheme="majorHAnsi" w:hAnsiTheme="majorHAnsi" w:cs="Calibri"/>
                <w:sz w:val="18"/>
                <w:szCs w:val="18"/>
              </w:rPr>
              <w:t>18.179</w:t>
            </w:r>
          </w:p>
        </w:tc>
        <w:tc>
          <w:tcPr>
            <w:tcW w:w="525" w:type="pct"/>
            <w:shd w:val="clear" w:color="auto" w:fill="auto"/>
            <w:vAlign w:val="center"/>
          </w:tcPr>
          <w:p w14:paraId="5CD7257D" w14:textId="77777777" w:rsidR="0036422B" w:rsidRPr="00A73608" w:rsidRDefault="0036422B" w:rsidP="00B036A2">
            <w:pPr>
              <w:pStyle w:val="TableParagraph"/>
              <w:spacing w:before="39"/>
              <w:ind w:right="49"/>
              <w:jc w:val="center"/>
              <w:rPr>
                <w:rFonts w:asciiTheme="majorHAnsi" w:hAnsiTheme="majorHAnsi" w:cs="Calibri"/>
                <w:sz w:val="18"/>
                <w:szCs w:val="18"/>
              </w:rPr>
            </w:pPr>
            <w:r w:rsidRPr="00A73608">
              <w:rPr>
                <w:rFonts w:asciiTheme="majorHAnsi" w:hAnsiTheme="majorHAnsi" w:cs="Calibri"/>
                <w:w w:val="99"/>
                <w:sz w:val="18"/>
                <w:szCs w:val="18"/>
              </w:rPr>
              <w:t>0</w:t>
            </w:r>
          </w:p>
        </w:tc>
        <w:tc>
          <w:tcPr>
            <w:tcW w:w="525" w:type="pct"/>
            <w:shd w:val="clear" w:color="auto" w:fill="auto"/>
            <w:vAlign w:val="center"/>
          </w:tcPr>
          <w:p w14:paraId="44C61AC8" w14:textId="77777777" w:rsidR="0036422B" w:rsidRPr="00A73608" w:rsidRDefault="0036422B" w:rsidP="00B036A2">
            <w:pPr>
              <w:pStyle w:val="TableParagraph"/>
              <w:spacing w:before="39"/>
              <w:ind w:left="202" w:right="49"/>
              <w:jc w:val="center"/>
              <w:rPr>
                <w:rFonts w:asciiTheme="majorHAnsi" w:hAnsiTheme="majorHAnsi" w:cs="Calibri"/>
                <w:sz w:val="18"/>
                <w:szCs w:val="18"/>
              </w:rPr>
            </w:pPr>
            <w:r w:rsidRPr="00A73608">
              <w:rPr>
                <w:rFonts w:asciiTheme="majorHAnsi" w:hAnsiTheme="majorHAnsi" w:cs="Calibri"/>
                <w:sz w:val="18"/>
                <w:szCs w:val="18"/>
              </w:rPr>
              <w:t>16.668</w:t>
            </w:r>
          </w:p>
        </w:tc>
        <w:tc>
          <w:tcPr>
            <w:tcW w:w="641" w:type="pct"/>
          </w:tcPr>
          <w:p w14:paraId="3D7C39C4" w14:textId="428AE592" w:rsidR="0036422B" w:rsidRPr="00A73608" w:rsidRDefault="0036422B" w:rsidP="00B036A2">
            <w:pPr>
              <w:pStyle w:val="TableParagraph"/>
              <w:spacing w:before="39"/>
              <w:ind w:right="49"/>
              <w:jc w:val="center"/>
              <w:rPr>
                <w:rFonts w:asciiTheme="majorHAnsi" w:hAnsiTheme="majorHAnsi" w:cs="Calibri"/>
                <w:sz w:val="18"/>
                <w:szCs w:val="18"/>
              </w:rPr>
            </w:pPr>
            <w:r w:rsidRPr="00A73608">
              <w:rPr>
                <w:rFonts w:asciiTheme="majorHAnsi" w:hAnsiTheme="majorHAnsi" w:cs="Calibri"/>
                <w:sz w:val="18"/>
                <w:szCs w:val="18"/>
              </w:rPr>
              <w:t>47.081</w:t>
            </w:r>
          </w:p>
        </w:tc>
        <w:tc>
          <w:tcPr>
            <w:tcW w:w="1148" w:type="pct"/>
            <w:shd w:val="clear" w:color="auto" w:fill="DEEAF6" w:themeFill="accent5" w:themeFillTint="33"/>
            <w:vAlign w:val="center"/>
          </w:tcPr>
          <w:p w14:paraId="7EFE337C" w14:textId="1BEAA577" w:rsidR="0036422B" w:rsidRPr="00A73608" w:rsidRDefault="0036422B" w:rsidP="00B036A2">
            <w:pPr>
              <w:pStyle w:val="TableParagraph"/>
              <w:spacing w:before="39"/>
              <w:ind w:right="49"/>
              <w:jc w:val="center"/>
              <w:rPr>
                <w:rFonts w:asciiTheme="majorHAnsi" w:hAnsiTheme="majorHAnsi" w:cs="Calibri"/>
                <w:b/>
                <w:sz w:val="18"/>
                <w:szCs w:val="18"/>
              </w:rPr>
            </w:pPr>
            <w:r w:rsidRPr="00A73608">
              <w:rPr>
                <w:rFonts w:asciiTheme="majorHAnsi" w:hAnsiTheme="majorHAnsi" w:cs="Calibri"/>
                <w:b/>
                <w:sz w:val="18"/>
                <w:szCs w:val="18"/>
              </w:rPr>
              <w:t>81.928</w:t>
            </w:r>
          </w:p>
        </w:tc>
      </w:tr>
      <w:tr w:rsidR="0036422B" w:rsidRPr="00A73608" w14:paraId="3699DFA8" w14:textId="77777777" w:rsidTr="0036422B">
        <w:trPr>
          <w:trHeight w:val="20"/>
        </w:trPr>
        <w:tc>
          <w:tcPr>
            <w:tcW w:w="1111" w:type="pct"/>
            <w:shd w:val="clear" w:color="auto" w:fill="auto"/>
            <w:vAlign w:val="center"/>
          </w:tcPr>
          <w:p w14:paraId="115B327C" w14:textId="77777777" w:rsidR="0036422B" w:rsidRPr="00A73608" w:rsidRDefault="0036422B" w:rsidP="00B036A2">
            <w:pPr>
              <w:pStyle w:val="TableParagraph"/>
              <w:spacing w:before="39"/>
              <w:ind w:left="60" w:right="49"/>
              <w:jc w:val="center"/>
              <w:rPr>
                <w:rFonts w:asciiTheme="majorHAnsi" w:hAnsiTheme="majorHAnsi" w:cs="Calibri"/>
                <w:sz w:val="18"/>
                <w:szCs w:val="18"/>
              </w:rPr>
            </w:pPr>
            <w:r w:rsidRPr="00A73608">
              <w:rPr>
                <w:rFonts w:asciiTheme="majorHAnsi" w:hAnsiTheme="majorHAnsi" w:cs="Calibri"/>
                <w:sz w:val="18"/>
                <w:szCs w:val="18"/>
              </w:rPr>
              <w:t>Directa Rural</w:t>
            </w:r>
          </w:p>
        </w:tc>
        <w:tc>
          <w:tcPr>
            <w:tcW w:w="525" w:type="pct"/>
            <w:shd w:val="clear" w:color="auto" w:fill="auto"/>
            <w:vAlign w:val="center"/>
          </w:tcPr>
          <w:p w14:paraId="72AC8BFF" w14:textId="77777777" w:rsidR="0036422B" w:rsidRPr="00A73608" w:rsidRDefault="0036422B" w:rsidP="00B036A2">
            <w:pPr>
              <w:pStyle w:val="TableParagraph"/>
              <w:spacing w:before="39"/>
              <w:ind w:left="202" w:right="49"/>
              <w:jc w:val="center"/>
              <w:rPr>
                <w:rFonts w:asciiTheme="majorHAnsi" w:hAnsiTheme="majorHAnsi" w:cs="Calibri"/>
                <w:sz w:val="18"/>
                <w:szCs w:val="18"/>
              </w:rPr>
            </w:pPr>
            <w:r w:rsidRPr="00A73608">
              <w:rPr>
                <w:rFonts w:asciiTheme="majorHAnsi" w:hAnsiTheme="majorHAnsi" w:cs="Calibri"/>
                <w:sz w:val="18"/>
                <w:szCs w:val="18"/>
              </w:rPr>
              <w:t>127.288</w:t>
            </w:r>
          </w:p>
        </w:tc>
        <w:tc>
          <w:tcPr>
            <w:tcW w:w="525" w:type="pct"/>
            <w:shd w:val="clear" w:color="auto" w:fill="auto"/>
            <w:vAlign w:val="center"/>
          </w:tcPr>
          <w:p w14:paraId="6083A461" w14:textId="77777777" w:rsidR="0036422B" w:rsidRPr="00A73608" w:rsidRDefault="0036422B" w:rsidP="00B036A2">
            <w:pPr>
              <w:pStyle w:val="TableParagraph"/>
              <w:spacing w:before="39"/>
              <w:ind w:left="203" w:right="49"/>
              <w:jc w:val="center"/>
              <w:rPr>
                <w:rFonts w:asciiTheme="majorHAnsi" w:hAnsiTheme="majorHAnsi" w:cs="Calibri"/>
                <w:sz w:val="18"/>
                <w:szCs w:val="18"/>
              </w:rPr>
            </w:pPr>
            <w:r w:rsidRPr="00A73608">
              <w:rPr>
                <w:rFonts w:asciiTheme="majorHAnsi" w:hAnsiTheme="majorHAnsi" w:cs="Calibri"/>
                <w:sz w:val="18"/>
                <w:szCs w:val="18"/>
              </w:rPr>
              <w:t>152.173</w:t>
            </w:r>
          </w:p>
        </w:tc>
        <w:tc>
          <w:tcPr>
            <w:tcW w:w="525" w:type="pct"/>
            <w:shd w:val="clear" w:color="auto" w:fill="auto"/>
            <w:vAlign w:val="center"/>
          </w:tcPr>
          <w:p w14:paraId="35460910" w14:textId="77777777" w:rsidR="0036422B" w:rsidRPr="00A73608" w:rsidRDefault="0036422B" w:rsidP="00B036A2">
            <w:pPr>
              <w:pStyle w:val="TableParagraph"/>
              <w:spacing w:before="39"/>
              <w:ind w:left="202" w:right="49"/>
              <w:jc w:val="center"/>
              <w:rPr>
                <w:rFonts w:asciiTheme="majorHAnsi" w:hAnsiTheme="majorHAnsi" w:cs="Calibri"/>
                <w:sz w:val="18"/>
                <w:szCs w:val="18"/>
              </w:rPr>
            </w:pPr>
            <w:r w:rsidRPr="00A73608">
              <w:rPr>
                <w:rFonts w:asciiTheme="majorHAnsi" w:hAnsiTheme="majorHAnsi" w:cs="Calibri"/>
                <w:sz w:val="18"/>
                <w:szCs w:val="18"/>
              </w:rPr>
              <w:t>89.944</w:t>
            </w:r>
          </w:p>
        </w:tc>
        <w:tc>
          <w:tcPr>
            <w:tcW w:w="525" w:type="pct"/>
            <w:shd w:val="clear" w:color="auto" w:fill="auto"/>
            <w:vAlign w:val="center"/>
          </w:tcPr>
          <w:p w14:paraId="5AD66CE6" w14:textId="77777777" w:rsidR="0036422B" w:rsidRPr="00A73608" w:rsidRDefault="0036422B" w:rsidP="00B036A2">
            <w:pPr>
              <w:pStyle w:val="TableParagraph"/>
              <w:spacing w:before="39"/>
              <w:ind w:left="202" w:right="49"/>
              <w:jc w:val="center"/>
              <w:rPr>
                <w:rFonts w:asciiTheme="majorHAnsi" w:hAnsiTheme="majorHAnsi" w:cs="Calibri"/>
                <w:sz w:val="18"/>
                <w:szCs w:val="18"/>
              </w:rPr>
            </w:pPr>
            <w:r w:rsidRPr="00A73608">
              <w:rPr>
                <w:rFonts w:asciiTheme="majorHAnsi" w:hAnsiTheme="majorHAnsi" w:cs="Calibri"/>
                <w:sz w:val="18"/>
                <w:szCs w:val="18"/>
              </w:rPr>
              <w:t>121.463</w:t>
            </w:r>
          </w:p>
        </w:tc>
        <w:tc>
          <w:tcPr>
            <w:tcW w:w="641" w:type="pct"/>
          </w:tcPr>
          <w:p w14:paraId="40707991" w14:textId="6595F970" w:rsidR="0036422B" w:rsidRPr="00A73608" w:rsidRDefault="0036422B" w:rsidP="00B036A2">
            <w:pPr>
              <w:pStyle w:val="TableParagraph"/>
              <w:spacing w:before="39"/>
              <w:ind w:right="49"/>
              <w:jc w:val="center"/>
              <w:rPr>
                <w:rFonts w:asciiTheme="majorHAnsi" w:hAnsiTheme="majorHAnsi" w:cs="Calibri"/>
                <w:sz w:val="18"/>
                <w:szCs w:val="18"/>
              </w:rPr>
            </w:pPr>
            <w:r w:rsidRPr="00A73608">
              <w:rPr>
                <w:rFonts w:asciiTheme="majorHAnsi" w:hAnsiTheme="majorHAnsi" w:cs="Calibri"/>
                <w:sz w:val="18"/>
                <w:szCs w:val="18"/>
              </w:rPr>
              <w:t>0</w:t>
            </w:r>
          </w:p>
        </w:tc>
        <w:tc>
          <w:tcPr>
            <w:tcW w:w="1148" w:type="pct"/>
            <w:shd w:val="clear" w:color="auto" w:fill="DEEAF6" w:themeFill="accent5" w:themeFillTint="33"/>
            <w:vAlign w:val="center"/>
          </w:tcPr>
          <w:p w14:paraId="6F1C9555" w14:textId="61C0E726" w:rsidR="0036422B" w:rsidRPr="00A73608" w:rsidRDefault="0036422B" w:rsidP="00B036A2">
            <w:pPr>
              <w:pStyle w:val="TableParagraph"/>
              <w:spacing w:before="39"/>
              <w:ind w:right="49"/>
              <w:jc w:val="center"/>
              <w:rPr>
                <w:rFonts w:asciiTheme="majorHAnsi" w:hAnsiTheme="majorHAnsi" w:cs="Calibri"/>
                <w:b/>
                <w:sz w:val="18"/>
                <w:szCs w:val="18"/>
              </w:rPr>
            </w:pPr>
            <w:r w:rsidRPr="00A73608">
              <w:rPr>
                <w:rFonts w:asciiTheme="majorHAnsi" w:hAnsiTheme="majorHAnsi" w:cs="Calibri"/>
                <w:b/>
                <w:sz w:val="18"/>
                <w:szCs w:val="18"/>
              </w:rPr>
              <w:t>490.868</w:t>
            </w:r>
          </w:p>
        </w:tc>
      </w:tr>
      <w:tr w:rsidR="0036422B" w:rsidRPr="00A73608" w14:paraId="632D5FB7" w14:textId="77777777" w:rsidTr="0036422B">
        <w:trPr>
          <w:trHeight w:val="20"/>
        </w:trPr>
        <w:tc>
          <w:tcPr>
            <w:tcW w:w="1111" w:type="pct"/>
            <w:shd w:val="clear" w:color="auto" w:fill="auto"/>
            <w:vAlign w:val="center"/>
          </w:tcPr>
          <w:p w14:paraId="4825FA96" w14:textId="77777777" w:rsidR="0036422B" w:rsidRPr="00A73608" w:rsidRDefault="0036422B" w:rsidP="00B036A2">
            <w:pPr>
              <w:pStyle w:val="TableParagraph"/>
              <w:spacing w:before="36"/>
              <w:ind w:left="60" w:right="49"/>
              <w:jc w:val="center"/>
              <w:rPr>
                <w:rFonts w:asciiTheme="majorHAnsi" w:hAnsiTheme="majorHAnsi" w:cs="Calibri"/>
                <w:sz w:val="18"/>
                <w:szCs w:val="18"/>
              </w:rPr>
            </w:pPr>
            <w:r w:rsidRPr="00A73608">
              <w:rPr>
                <w:rFonts w:asciiTheme="majorHAnsi" w:hAnsiTheme="majorHAnsi" w:cs="Calibri"/>
                <w:sz w:val="18"/>
                <w:szCs w:val="18"/>
              </w:rPr>
              <w:t>Especial</w:t>
            </w:r>
          </w:p>
        </w:tc>
        <w:tc>
          <w:tcPr>
            <w:tcW w:w="525" w:type="pct"/>
            <w:shd w:val="clear" w:color="auto" w:fill="auto"/>
            <w:vAlign w:val="center"/>
          </w:tcPr>
          <w:p w14:paraId="740B1C10" w14:textId="77777777" w:rsidR="0036422B" w:rsidRPr="00A73608" w:rsidRDefault="0036422B" w:rsidP="00B036A2">
            <w:pPr>
              <w:pStyle w:val="TableParagraph"/>
              <w:spacing w:before="36"/>
              <w:ind w:left="202" w:right="49"/>
              <w:jc w:val="center"/>
              <w:rPr>
                <w:rFonts w:asciiTheme="majorHAnsi" w:hAnsiTheme="majorHAnsi" w:cs="Calibri"/>
                <w:sz w:val="18"/>
                <w:szCs w:val="18"/>
              </w:rPr>
            </w:pPr>
            <w:r w:rsidRPr="00A73608">
              <w:rPr>
                <w:rFonts w:asciiTheme="majorHAnsi" w:hAnsiTheme="majorHAnsi" w:cs="Calibri"/>
                <w:sz w:val="18"/>
                <w:szCs w:val="18"/>
              </w:rPr>
              <w:t>22.372</w:t>
            </w:r>
          </w:p>
        </w:tc>
        <w:tc>
          <w:tcPr>
            <w:tcW w:w="525" w:type="pct"/>
            <w:shd w:val="clear" w:color="auto" w:fill="auto"/>
            <w:vAlign w:val="center"/>
          </w:tcPr>
          <w:p w14:paraId="69408E44" w14:textId="77777777" w:rsidR="0036422B" w:rsidRPr="00A73608" w:rsidRDefault="0036422B" w:rsidP="00B036A2">
            <w:pPr>
              <w:pStyle w:val="TableParagraph"/>
              <w:spacing w:before="36"/>
              <w:ind w:left="203" w:right="49"/>
              <w:jc w:val="center"/>
              <w:rPr>
                <w:rFonts w:asciiTheme="majorHAnsi" w:hAnsiTheme="majorHAnsi" w:cs="Calibri"/>
                <w:sz w:val="18"/>
                <w:szCs w:val="18"/>
              </w:rPr>
            </w:pPr>
            <w:r w:rsidRPr="00A73608">
              <w:rPr>
                <w:rFonts w:asciiTheme="majorHAnsi" w:hAnsiTheme="majorHAnsi" w:cs="Calibri"/>
                <w:sz w:val="18"/>
                <w:szCs w:val="18"/>
              </w:rPr>
              <w:t>13.100</w:t>
            </w:r>
          </w:p>
        </w:tc>
        <w:tc>
          <w:tcPr>
            <w:tcW w:w="525" w:type="pct"/>
            <w:shd w:val="clear" w:color="auto" w:fill="auto"/>
            <w:vAlign w:val="center"/>
          </w:tcPr>
          <w:p w14:paraId="6C9EBBAA" w14:textId="77777777" w:rsidR="0036422B" w:rsidRPr="00A73608" w:rsidRDefault="0036422B" w:rsidP="00B036A2">
            <w:pPr>
              <w:pStyle w:val="TableParagraph"/>
              <w:spacing w:before="36"/>
              <w:ind w:right="49"/>
              <w:jc w:val="center"/>
              <w:rPr>
                <w:rFonts w:asciiTheme="majorHAnsi" w:hAnsiTheme="majorHAnsi" w:cs="Calibri"/>
                <w:sz w:val="18"/>
                <w:szCs w:val="18"/>
              </w:rPr>
            </w:pPr>
            <w:r w:rsidRPr="00A73608">
              <w:rPr>
                <w:rFonts w:asciiTheme="majorHAnsi" w:hAnsiTheme="majorHAnsi" w:cs="Calibri"/>
                <w:w w:val="99"/>
                <w:sz w:val="18"/>
                <w:szCs w:val="18"/>
              </w:rPr>
              <w:t>0</w:t>
            </w:r>
          </w:p>
        </w:tc>
        <w:tc>
          <w:tcPr>
            <w:tcW w:w="525" w:type="pct"/>
            <w:shd w:val="clear" w:color="auto" w:fill="auto"/>
            <w:vAlign w:val="center"/>
          </w:tcPr>
          <w:p w14:paraId="2092575B" w14:textId="77777777" w:rsidR="0036422B" w:rsidRPr="00A73608" w:rsidRDefault="0036422B" w:rsidP="00B036A2">
            <w:pPr>
              <w:pStyle w:val="TableParagraph"/>
              <w:spacing w:before="36"/>
              <w:ind w:right="49"/>
              <w:jc w:val="center"/>
              <w:rPr>
                <w:rFonts w:asciiTheme="majorHAnsi" w:hAnsiTheme="majorHAnsi" w:cs="Calibri"/>
                <w:sz w:val="18"/>
                <w:szCs w:val="18"/>
              </w:rPr>
            </w:pPr>
            <w:r w:rsidRPr="00A73608">
              <w:rPr>
                <w:rFonts w:asciiTheme="majorHAnsi" w:hAnsiTheme="majorHAnsi" w:cs="Calibri"/>
                <w:w w:val="99"/>
                <w:sz w:val="18"/>
                <w:szCs w:val="18"/>
              </w:rPr>
              <w:t>0</w:t>
            </w:r>
          </w:p>
        </w:tc>
        <w:tc>
          <w:tcPr>
            <w:tcW w:w="641" w:type="pct"/>
          </w:tcPr>
          <w:p w14:paraId="008EA72A" w14:textId="458F3101" w:rsidR="0036422B" w:rsidRPr="00A73608" w:rsidRDefault="0036422B" w:rsidP="00B036A2">
            <w:pPr>
              <w:pStyle w:val="TableParagraph"/>
              <w:spacing w:before="36"/>
              <w:ind w:right="49"/>
              <w:jc w:val="center"/>
              <w:rPr>
                <w:rFonts w:asciiTheme="majorHAnsi" w:hAnsiTheme="majorHAnsi" w:cs="Calibri"/>
                <w:sz w:val="18"/>
                <w:szCs w:val="18"/>
              </w:rPr>
            </w:pPr>
            <w:r w:rsidRPr="00A73608">
              <w:rPr>
                <w:rFonts w:asciiTheme="majorHAnsi" w:hAnsiTheme="majorHAnsi" w:cs="Calibri"/>
                <w:sz w:val="18"/>
                <w:szCs w:val="18"/>
              </w:rPr>
              <w:t>0</w:t>
            </w:r>
          </w:p>
        </w:tc>
        <w:tc>
          <w:tcPr>
            <w:tcW w:w="1148" w:type="pct"/>
            <w:shd w:val="clear" w:color="auto" w:fill="DEEAF6" w:themeFill="accent5" w:themeFillTint="33"/>
            <w:vAlign w:val="center"/>
          </w:tcPr>
          <w:p w14:paraId="292DF56F" w14:textId="35F48492" w:rsidR="0036422B" w:rsidRPr="00A73608" w:rsidRDefault="0036422B" w:rsidP="00B036A2">
            <w:pPr>
              <w:pStyle w:val="TableParagraph"/>
              <w:spacing w:before="36"/>
              <w:ind w:right="49"/>
              <w:jc w:val="center"/>
              <w:rPr>
                <w:rFonts w:asciiTheme="majorHAnsi" w:hAnsiTheme="majorHAnsi" w:cs="Calibri"/>
                <w:b/>
                <w:sz w:val="18"/>
                <w:szCs w:val="18"/>
              </w:rPr>
            </w:pPr>
            <w:r w:rsidRPr="00A73608">
              <w:rPr>
                <w:rFonts w:asciiTheme="majorHAnsi" w:hAnsiTheme="majorHAnsi" w:cs="Calibri"/>
                <w:b/>
                <w:sz w:val="18"/>
                <w:szCs w:val="18"/>
              </w:rPr>
              <w:t>35.472</w:t>
            </w:r>
          </w:p>
        </w:tc>
      </w:tr>
      <w:tr w:rsidR="0036422B" w:rsidRPr="00A73608" w14:paraId="1A3AF113" w14:textId="77777777" w:rsidTr="0036422B">
        <w:trPr>
          <w:trHeight w:val="20"/>
        </w:trPr>
        <w:tc>
          <w:tcPr>
            <w:tcW w:w="1111" w:type="pct"/>
            <w:shd w:val="clear" w:color="auto" w:fill="DEEAF6" w:themeFill="accent5" w:themeFillTint="33"/>
            <w:vAlign w:val="center"/>
          </w:tcPr>
          <w:p w14:paraId="5EBDD8C1" w14:textId="77777777" w:rsidR="0036422B" w:rsidRPr="00A73608" w:rsidRDefault="0036422B" w:rsidP="00B036A2">
            <w:pPr>
              <w:pStyle w:val="TableParagraph"/>
              <w:spacing w:before="65"/>
              <w:ind w:left="60" w:right="49"/>
              <w:jc w:val="center"/>
              <w:rPr>
                <w:rFonts w:asciiTheme="majorHAnsi" w:hAnsiTheme="majorHAnsi" w:cs="Calibri"/>
                <w:b/>
                <w:sz w:val="18"/>
                <w:szCs w:val="18"/>
              </w:rPr>
            </w:pPr>
            <w:r w:rsidRPr="00A73608">
              <w:rPr>
                <w:rFonts w:asciiTheme="majorHAnsi" w:hAnsiTheme="majorHAnsi" w:cs="Calibri"/>
                <w:b/>
                <w:sz w:val="18"/>
                <w:szCs w:val="18"/>
              </w:rPr>
              <w:t>TOTAL PRODUCTORES ATENDIDOS/AÑO</w:t>
            </w:r>
          </w:p>
        </w:tc>
        <w:tc>
          <w:tcPr>
            <w:tcW w:w="525" w:type="pct"/>
            <w:shd w:val="clear" w:color="auto" w:fill="DEEAF6" w:themeFill="accent5" w:themeFillTint="33"/>
            <w:vAlign w:val="center"/>
          </w:tcPr>
          <w:p w14:paraId="343145D2" w14:textId="77777777" w:rsidR="0036422B" w:rsidRPr="00A73608" w:rsidRDefault="0036422B" w:rsidP="00B036A2">
            <w:pPr>
              <w:pStyle w:val="TableParagraph"/>
              <w:ind w:left="202" w:right="49"/>
              <w:jc w:val="center"/>
              <w:rPr>
                <w:rFonts w:asciiTheme="majorHAnsi" w:hAnsiTheme="majorHAnsi" w:cs="Calibri"/>
                <w:b/>
                <w:sz w:val="18"/>
                <w:szCs w:val="18"/>
              </w:rPr>
            </w:pPr>
            <w:r w:rsidRPr="00A73608">
              <w:rPr>
                <w:rFonts w:asciiTheme="majorHAnsi" w:hAnsiTheme="majorHAnsi" w:cs="Calibri"/>
                <w:b/>
                <w:sz w:val="18"/>
                <w:szCs w:val="18"/>
              </w:rPr>
              <w:t>149.660</w:t>
            </w:r>
          </w:p>
        </w:tc>
        <w:tc>
          <w:tcPr>
            <w:tcW w:w="525" w:type="pct"/>
            <w:shd w:val="clear" w:color="auto" w:fill="DEEAF6" w:themeFill="accent5" w:themeFillTint="33"/>
            <w:vAlign w:val="center"/>
          </w:tcPr>
          <w:p w14:paraId="61505DBB" w14:textId="77777777" w:rsidR="0036422B" w:rsidRPr="00A73608" w:rsidRDefault="0036422B" w:rsidP="00B036A2">
            <w:pPr>
              <w:pStyle w:val="TableParagraph"/>
              <w:ind w:left="203" w:right="49"/>
              <w:jc w:val="center"/>
              <w:rPr>
                <w:rFonts w:asciiTheme="majorHAnsi" w:hAnsiTheme="majorHAnsi" w:cs="Calibri"/>
                <w:b/>
                <w:sz w:val="18"/>
                <w:szCs w:val="18"/>
              </w:rPr>
            </w:pPr>
            <w:r w:rsidRPr="00A73608">
              <w:rPr>
                <w:rFonts w:asciiTheme="majorHAnsi" w:hAnsiTheme="majorHAnsi" w:cs="Calibri"/>
                <w:b/>
                <w:sz w:val="18"/>
                <w:szCs w:val="18"/>
              </w:rPr>
              <w:t>183.452</w:t>
            </w:r>
          </w:p>
        </w:tc>
        <w:tc>
          <w:tcPr>
            <w:tcW w:w="525" w:type="pct"/>
            <w:shd w:val="clear" w:color="auto" w:fill="DEEAF6" w:themeFill="accent5" w:themeFillTint="33"/>
            <w:vAlign w:val="center"/>
          </w:tcPr>
          <w:p w14:paraId="6328C3F8" w14:textId="77777777" w:rsidR="0036422B" w:rsidRPr="00A73608" w:rsidRDefault="0036422B" w:rsidP="00B036A2">
            <w:pPr>
              <w:pStyle w:val="TableParagraph"/>
              <w:ind w:left="202" w:right="49"/>
              <w:jc w:val="center"/>
              <w:rPr>
                <w:rFonts w:asciiTheme="majorHAnsi" w:hAnsiTheme="majorHAnsi" w:cs="Calibri"/>
                <w:b/>
                <w:sz w:val="18"/>
                <w:szCs w:val="18"/>
              </w:rPr>
            </w:pPr>
            <w:r w:rsidRPr="00A73608">
              <w:rPr>
                <w:rFonts w:asciiTheme="majorHAnsi" w:hAnsiTheme="majorHAnsi" w:cs="Calibri"/>
                <w:b/>
                <w:sz w:val="18"/>
                <w:szCs w:val="18"/>
              </w:rPr>
              <w:t>89.944</w:t>
            </w:r>
          </w:p>
        </w:tc>
        <w:tc>
          <w:tcPr>
            <w:tcW w:w="525" w:type="pct"/>
            <w:shd w:val="clear" w:color="auto" w:fill="DEEAF6" w:themeFill="accent5" w:themeFillTint="33"/>
            <w:vAlign w:val="center"/>
          </w:tcPr>
          <w:p w14:paraId="2DF2F6A8" w14:textId="77777777" w:rsidR="0036422B" w:rsidRPr="00A73608" w:rsidRDefault="0036422B" w:rsidP="00B036A2">
            <w:pPr>
              <w:pStyle w:val="TableParagraph"/>
              <w:ind w:left="202" w:right="49"/>
              <w:jc w:val="center"/>
              <w:rPr>
                <w:rFonts w:asciiTheme="majorHAnsi" w:hAnsiTheme="majorHAnsi" w:cs="Calibri"/>
                <w:b/>
                <w:sz w:val="18"/>
                <w:szCs w:val="18"/>
              </w:rPr>
            </w:pPr>
            <w:r w:rsidRPr="00A73608">
              <w:rPr>
                <w:rFonts w:asciiTheme="majorHAnsi" w:hAnsiTheme="majorHAnsi" w:cs="Calibri"/>
                <w:b/>
                <w:sz w:val="18"/>
                <w:szCs w:val="18"/>
              </w:rPr>
              <w:t>138.131</w:t>
            </w:r>
          </w:p>
        </w:tc>
        <w:tc>
          <w:tcPr>
            <w:tcW w:w="641" w:type="pct"/>
            <w:shd w:val="clear" w:color="auto" w:fill="DEEAF6" w:themeFill="accent5" w:themeFillTint="33"/>
            <w:vAlign w:val="center"/>
          </w:tcPr>
          <w:p w14:paraId="1D825DCD" w14:textId="2157BBBF" w:rsidR="0036422B" w:rsidRPr="00A73608" w:rsidRDefault="0036422B" w:rsidP="00B036A2">
            <w:pPr>
              <w:pStyle w:val="TableParagraph"/>
              <w:ind w:right="49"/>
              <w:jc w:val="center"/>
              <w:rPr>
                <w:rFonts w:asciiTheme="majorHAnsi" w:hAnsiTheme="majorHAnsi" w:cs="Calibri"/>
                <w:b/>
                <w:sz w:val="18"/>
                <w:szCs w:val="18"/>
              </w:rPr>
            </w:pPr>
            <w:r w:rsidRPr="00A73608">
              <w:rPr>
                <w:rFonts w:asciiTheme="majorHAnsi" w:hAnsiTheme="majorHAnsi" w:cs="Calibri"/>
                <w:b/>
                <w:sz w:val="18"/>
                <w:szCs w:val="18"/>
              </w:rPr>
              <w:t>47.081</w:t>
            </w:r>
          </w:p>
        </w:tc>
        <w:tc>
          <w:tcPr>
            <w:tcW w:w="1148" w:type="pct"/>
            <w:shd w:val="clear" w:color="auto" w:fill="DEEAF6" w:themeFill="accent5" w:themeFillTint="33"/>
            <w:vAlign w:val="center"/>
          </w:tcPr>
          <w:p w14:paraId="5CED64A5" w14:textId="41E30AC0" w:rsidR="0036422B" w:rsidRPr="00A73608" w:rsidRDefault="0036422B" w:rsidP="00B036A2">
            <w:pPr>
              <w:pStyle w:val="TableParagraph"/>
              <w:ind w:right="49"/>
              <w:jc w:val="center"/>
              <w:rPr>
                <w:rFonts w:asciiTheme="majorHAnsi" w:hAnsiTheme="majorHAnsi" w:cs="Calibri"/>
                <w:b/>
                <w:sz w:val="18"/>
                <w:szCs w:val="18"/>
              </w:rPr>
            </w:pPr>
            <w:r w:rsidRPr="00A73608">
              <w:rPr>
                <w:rFonts w:asciiTheme="majorHAnsi" w:hAnsiTheme="majorHAnsi" w:cs="Calibri"/>
                <w:b/>
                <w:sz w:val="18"/>
                <w:szCs w:val="18"/>
              </w:rPr>
              <w:t>608.268</w:t>
            </w:r>
          </w:p>
        </w:tc>
      </w:tr>
    </w:tbl>
    <w:p w14:paraId="623F254A" w14:textId="07566D45" w:rsidR="006D2769" w:rsidRPr="00A73608" w:rsidRDefault="00042A90" w:rsidP="00B036A2">
      <w:pPr>
        <w:spacing w:before="99" w:after="0"/>
        <w:ind w:left="122" w:right="49"/>
        <w:jc w:val="center"/>
        <w:rPr>
          <w:rFonts w:asciiTheme="majorHAnsi" w:hAnsiTheme="majorHAnsi" w:cs="Calibri"/>
          <w:i/>
          <w:sz w:val="18"/>
          <w:szCs w:val="18"/>
        </w:rPr>
      </w:pPr>
      <w:r w:rsidRPr="00A73608">
        <w:rPr>
          <w:rFonts w:asciiTheme="majorHAnsi" w:hAnsiTheme="majorHAnsi" w:cs="Calibri"/>
          <w:i/>
          <w:sz w:val="18"/>
          <w:szCs w:val="18"/>
        </w:rPr>
        <w:t>Fuente: MADR – DRE (AIS). 2016</w:t>
      </w:r>
    </w:p>
    <w:p w14:paraId="2B867B59" w14:textId="77777777" w:rsidR="006D2769" w:rsidRPr="00A73608" w:rsidRDefault="006D2769" w:rsidP="006D2769">
      <w:pPr>
        <w:pStyle w:val="Textoindependiente"/>
        <w:spacing w:before="6"/>
        <w:ind w:right="49"/>
        <w:jc w:val="both"/>
        <w:rPr>
          <w:rFonts w:asciiTheme="majorHAnsi" w:hAnsiTheme="majorHAnsi" w:cs="Calibri"/>
          <w:sz w:val="20"/>
          <w:szCs w:val="20"/>
        </w:rPr>
      </w:pPr>
    </w:p>
    <w:p w14:paraId="50885EB4" w14:textId="77777777" w:rsidR="00AC0D2D" w:rsidRPr="00A73608" w:rsidRDefault="00AC0D2D" w:rsidP="00AE5F60">
      <w:pPr>
        <w:pStyle w:val="Textoindependiente"/>
        <w:ind w:right="49"/>
        <w:jc w:val="both"/>
        <w:rPr>
          <w:rFonts w:asciiTheme="majorHAnsi" w:hAnsiTheme="majorHAnsi" w:cs="Calibri"/>
          <w:lang w:val="es-CO"/>
        </w:rPr>
      </w:pPr>
    </w:p>
    <w:p w14:paraId="00DB3DEF" w14:textId="77777777" w:rsidR="006D2769" w:rsidRPr="006F4CAF" w:rsidRDefault="00A23C60" w:rsidP="00EA162D">
      <w:pPr>
        <w:pStyle w:val="Prrafodelista"/>
        <w:numPr>
          <w:ilvl w:val="1"/>
          <w:numId w:val="14"/>
        </w:numPr>
        <w:spacing w:after="240" w:line="240" w:lineRule="auto"/>
        <w:jc w:val="both"/>
        <w:rPr>
          <w:rFonts w:asciiTheme="majorHAnsi" w:hAnsiTheme="majorHAnsi"/>
          <w:b/>
        </w:rPr>
      </w:pPr>
      <w:r w:rsidRPr="006F4CAF">
        <w:rPr>
          <w:rFonts w:asciiTheme="majorHAnsi" w:hAnsiTheme="majorHAnsi"/>
          <w:b/>
        </w:rPr>
        <w:t xml:space="preserve">Problemas centrales </w:t>
      </w:r>
    </w:p>
    <w:p w14:paraId="3A2E9823" w14:textId="4C9BF096" w:rsidR="006D2769" w:rsidRPr="00A73608" w:rsidRDefault="006D2769" w:rsidP="00EA162D">
      <w:pPr>
        <w:pStyle w:val="Ttulo3"/>
        <w:numPr>
          <w:ilvl w:val="2"/>
          <w:numId w:val="5"/>
        </w:numPr>
        <w:rPr>
          <w:color w:val="auto"/>
        </w:rPr>
      </w:pPr>
      <w:bookmarkStart w:id="5" w:name="_Toc4680860"/>
      <w:r w:rsidRPr="00A73608">
        <w:rPr>
          <w:color w:val="auto"/>
        </w:rPr>
        <w:t>Falta de acompañamiento y</w:t>
      </w:r>
      <w:r w:rsidRPr="00A73608">
        <w:rPr>
          <w:color w:val="auto"/>
          <w:spacing w:val="-20"/>
        </w:rPr>
        <w:t xml:space="preserve"> </w:t>
      </w:r>
      <w:r w:rsidRPr="00A73608">
        <w:rPr>
          <w:color w:val="auto"/>
        </w:rPr>
        <w:t>planificación.</w:t>
      </w:r>
      <w:bookmarkEnd w:id="5"/>
    </w:p>
    <w:p w14:paraId="288F57E6" w14:textId="77777777" w:rsidR="006D2769" w:rsidRPr="00A73608" w:rsidRDefault="006D2769" w:rsidP="001973C5">
      <w:pPr>
        <w:pStyle w:val="Textoindependiente"/>
        <w:ind w:right="49"/>
        <w:jc w:val="both"/>
        <w:rPr>
          <w:rFonts w:asciiTheme="majorHAnsi" w:hAnsiTheme="majorHAnsi" w:cs="Calibri"/>
          <w:lang w:val="es-CO"/>
        </w:rPr>
      </w:pPr>
      <w:r w:rsidRPr="00A73608">
        <w:rPr>
          <w:rFonts w:asciiTheme="majorHAnsi" w:hAnsiTheme="majorHAnsi" w:cs="Calibri"/>
          <w:lang w:val="es-CO"/>
        </w:rPr>
        <w:t>Uno de los principales problemas identificados por el MA</w:t>
      </w:r>
      <w:r w:rsidR="00891CC9" w:rsidRPr="00A73608">
        <w:rPr>
          <w:rFonts w:asciiTheme="majorHAnsi" w:hAnsiTheme="majorHAnsi" w:cs="Calibri"/>
          <w:lang w:val="es-CO"/>
        </w:rPr>
        <w:t>DR</w:t>
      </w:r>
      <w:r w:rsidRPr="00A73608">
        <w:rPr>
          <w:rFonts w:asciiTheme="majorHAnsi" w:hAnsiTheme="majorHAnsi" w:cs="Calibri"/>
          <w:lang w:val="es-CO"/>
        </w:rPr>
        <w:t xml:space="preserve"> en la evaluación de Planes Generales de Asistencia Técnica</w:t>
      </w:r>
      <w:r w:rsidR="00891CC9" w:rsidRPr="00A73608">
        <w:rPr>
          <w:rFonts w:asciiTheme="majorHAnsi" w:hAnsiTheme="majorHAnsi" w:cs="Calibri"/>
          <w:lang w:val="es-CO"/>
        </w:rPr>
        <w:t xml:space="preserve"> (</w:t>
      </w:r>
      <w:r w:rsidRPr="00A73608">
        <w:rPr>
          <w:rFonts w:asciiTheme="majorHAnsi" w:hAnsiTheme="majorHAnsi" w:cs="Calibri"/>
          <w:lang w:val="es-CO"/>
        </w:rPr>
        <w:t>PGAT</w:t>
      </w:r>
      <w:r w:rsidR="00891CC9" w:rsidRPr="00A73608">
        <w:rPr>
          <w:rFonts w:asciiTheme="majorHAnsi" w:hAnsiTheme="majorHAnsi" w:cs="Calibri"/>
          <w:lang w:val="es-CO"/>
        </w:rPr>
        <w:t>)</w:t>
      </w:r>
      <w:r w:rsidRPr="00A73608">
        <w:rPr>
          <w:rFonts w:asciiTheme="majorHAnsi" w:hAnsiTheme="majorHAnsi" w:cs="Calibri"/>
          <w:lang w:val="es-CO"/>
        </w:rPr>
        <w:t xml:space="preserve"> es la falta de acompañamiento técnico o la intermitencia en la prestación del mismo. La continuidad de dicho acompañamiento es </w:t>
      </w:r>
      <w:r w:rsidR="00283215" w:rsidRPr="00A73608">
        <w:rPr>
          <w:rFonts w:asciiTheme="majorHAnsi" w:hAnsiTheme="majorHAnsi" w:cs="Calibri"/>
          <w:lang w:val="es-CO"/>
        </w:rPr>
        <w:t>necesaria</w:t>
      </w:r>
      <w:r w:rsidRPr="00A73608">
        <w:rPr>
          <w:rFonts w:asciiTheme="majorHAnsi" w:hAnsiTheme="majorHAnsi" w:cs="Calibri"/>
          <w:lang w:val="es-CO"/>
        </w:rPr>
        <w:t xml:space="preserve"> para la adopción e implementación de conocimiento y de soluciones tecnológicas.</w:t>
      </w:r>
    </w:p>
    <w:p w14:paraId="1E2BDC96" w14:textId="77777777" w:rsidR="006D2769" w:rsidRPr="00BA435B" w:rsidRDefault="006D2769" w:rsidP="006D2769">
      <w:pPr>
        <w:pStyle w:val="Textoindependiente"/>
        <w:ind w:right="49"/>
        <w:jc w:val="both"/>
        <w:rPr>
          <w:rFonts w:asciiTheme="majorHAnsi" w:hAnsiTheme="majorHAnsi" w:cs="Calibri"/>
          <w:lang w:val="es-CO"/>
        </w:rPr>
      </w:pPr>
    </w:p>
    <w:p w14:paraId="13BA2BA7" w14:textId="4075A7EF" w:rsidR="006D2769" w:rsidRPr="00BA435B" w:rsidRDefault="006D2769" w:rsidP="001973C5">
      <w:pPr>
        <w:pStyle w:val="Textoindependiente"/>
        <w:ind w:right="49"/>
        <w:jc w:val="both"/>
        <w:rPr>
          <w:rFonts w:asciiTheme="majorHAnsi" w:hAnsiTheme="majorHAnsi" w:cs="Calibri"/>
          <w:lang w:val="es-CO"/>
        </w:rPr>
      </w:pPr>
      <w:r w:rsidRPr="00BA435B">
        <w:rPr>
          <w:rFonts w:asciiTheme="majorHAnsi" w:hAnsiTheme="majorHAnsi" w:cs="Calibri"/>
          <w:lang w:val="es-CO"/>
        </w:rPr>
        <w:t xml:space="preserve">En ese sentido, la falta de acompañamiento se agrava cuando se tiene desconocimiento técnico, </w:t>
      </w:r>
      <w:r w:rsidR="00891CC9" w:rsidRPr="00BA435B">
        <w:rPr>
          <w:rFonts w:asciiTheme="majorHAnsi" w:hAnsiTheme="majorHAnsi" w:cs="Calibri"/>
          <w:lang w:val="es-CO"/>
        </w:rPr>
        <w:t xml:space="preserve">se </w:t>
      </w:r>
      <w:r w:rsidRPr="00BA435B">
        <w:rPr>
          <w:rFonts w:asciiTheme="majorHAnsi" w:hAnsiTheme="majorHAnsi" w:cs="Calibri"/>
          <w:lang w:val="es-CO"/>
        </w:rPr>
        <w:lastRenderedPageBreak/>
        <w:t>comenten errores metodológicos</w:t>
      </w:r>
      <w:r w:rsidR="00891CC9" w:rsidRPr="00BA435B">
        <w:rPr>
          <w:rFonts w:asciiTheme="majorHAnsi" w:hAnsiTheme="majorHAnsi" w:cs="Calibri"/>
          <w:lang w:val="es-CO"/>
        </w:rPr>
        <w:t xml:space="preserve"> por la aplicación errónea</w:t>
      </w:r>
      <w:r w:rsidRPr="00BA435B">
        <w:rPr>
          <w:rFonts w:asciiTheme="majorHAnsi" w:hAnsiTheme="majorHAnsi" w:cs="Calibri"/>
          <w:lang w:val="es-CO"/>
        </w:rPr>
        <w:t xml:space="preserve"> de estrategias pedagógicas que evidencian la falta de idoneidad requerida</w:t>
      </w:r>
      <w:r w:rsidR="00AC0D2D" w:rsidRPr="00BA435B">
        <w:rPr>
          <w:rFonts w:asciiTheme="majorHAnsi" w:hAnsiTheme="majorHAnsi" w:cs="Calibri"/>
          <w:lang w:val="es-CO"/>
        </w:rPr>
        <w:t>,</w:t>
      </w:r>
      <w:r w:rsidR="003E5C40" w:rsidRPr="00BA435B">
        <w:rPr>
          <w:rFonts w:asciiTheme="majorHAnsi" w:hAnsiTheme="majorHAnsi" w:cs="Calibri"/>
          <w:lang w:val="es-CO"/>
        </w:rPr>
        <w:t xml:space="preserve"> la falta de conocimiento en el manejo de los enfoques de género y diferencial,</w:t>
      </w:r>
      <w:r w:rsidRPr="00BA435B">
        <w:rPr>
          <w:rFonts w:asciiTheme="majorHAnsi" w:hAnsiTheme="majorHAnsi" w:cs="Calibri"/>
          <w:lang w:val="es-CO"/>
        </w:rPr>
        <w:t xml:space="preserve"> </w:t>
      </w:r>
      <w:r w:rsidR="00891CC9" w:rsidRPr="00BA435B">
        <w:rPr>
          <w:rFonts w:asciiTheme="majorHAnsi" w:hAnsiTheme="majorHAnsi" w:cs="Calibri"/>
          <w:lang w:val="es-CO"/>
        </w:rPr>
        <w:t>y</w:t>
      </w:r>
      <w:r w:rsidRPr="00BA435B">
        <w:rPr>
          <w:rFonts w:asciiTheme="majorHAnsi" w:hAnsiTheme="majorHAnsi" w:cs="Calibri"/>
          <w:lang w:val="es-CO"/>
        </w:rPr>
        <w:t xml:space="preserve"> la falta de integralidad en </w:t>
      </w:r>
      <w:r w:rsidR="00891CC9" w:rsidRPr="00BA435B">
        <w:rPr>
          <w:rFonts w:asciiTheme="majorHAnsi" w:hAnsiTheme="majorHAnsi" w:cs="Calibri"/>
          <w:lang w:val="es-CO"/>
        </w:rPr>
        <w:t xml:space="preserve">la prestación </w:t>
      </w:r>
      <w:r w:rsidRPr="00BA435B">
        <w:rPr>
          <w:rFonts w:asciiTheme="majorHAnsi" w:hAnsiTheme="majorHAnsi" w:cs="Calibri"/>
          <w:lang w:val="es-CO"/>
        </w:rPr>
        <w:t>del servicio.</w:t>
      </w:r>
    </w:p>
    <w:p w14:paraId="6829723E" w14:textId="77777777" w:rsidR="006D2769" w:rsidRPr="00BA435B" w:rsidRDefault="006D2769" w:rsidP="006D2769">
      <w:pPr>
        <w:pStyle w:val="Textoindependiente"/>
        <w:ind w:right="49"/>
        <w:jc w:val="both"/>
        <w:rPr>
          <w:rFonts w:asciiTheme="majorHAnsi" w:hAnsiTheme="majorHAnsi" w:cs="Calibri"/>
          <w:lang w:val="es-CO"/>
        </w:rPr>
      </w:pPr>
    </w:p>
    <w:p w14:paraId="05C06493" w14:textId="681DF3D2" w:rsidR="006D2769" w:rsidRPr="00BA435B" w:rsidRDefault="006D2769" w:rsidP="00EA162D">
      <w:pPr>
        <w:pStyle w:val="Ttulo3"/>
        <w:numPr>
          <w:ilvl w:val="2"/>
          <w:numId w:val="5"/>
        </w:numPr>
        <w:rPr>
          <w:color w:val="auto"/>
        </w:rPr>
      </w:pPr>
      <w:bookmarkStart w:id="6" w:name="_Toc4680861"/>
      <w:r w:rsidRPr="00BA435B">
        <w:rPr>
          <w:color w:val="auto"/>
        </w:rPr>
        <w:t>Vacíos en la formación y capacitación asociada a la ATA</w:t>
      </w:r>
      <w:bookmarkEnd w:id="6"/>
    </w:p>
    <w:p w14:paraId="40DF12B3" w14:textId="2472DA03" w:rsidR="006D2769" w:rsidRPr="00BA435B" w:rsidRDefault="006D2769" w:rsidP="001973C5">
      <w:pPr>
        <w:pStyle w:val="Textoindependiente"/>
        <w:ind w:right="49"/>
        <w:jc w:val="both"/>
        <w:rPr>
          <w:rFonts w:asciiTheme="majorHAnsi" w:hAnsiTheme="majorHAnsi" w:cs="Calibri"/>
          <w:lang w:val="es-CO"/>
        </w:rPr>
      </w:pPr>
      <w:r w:rsidRPr="00BA435B">
        <w:rPr>
          <w:rFonts w:asciiTheme="majorHAnsi" w:hAnsiTheme="majorHAnsi" w:cs="Calibri"/>
          <w:lang w:val="es-CO"/>
        </w:rPr>
        <w:t>Desde finales de los años 80</w:t>
      </w:r>
      <w:r w:rsidR="00600293" w:rsidRPr="00BA435B">
        <w:rPr>
          <w:rFonts w:asciiTheme="majorHAnsi" w:hAnsiTheme="majorHAnsi" w:cs="Calibri"/>
          <w:lang w:val="es-CO"/>
        </w:rPr>
        <w:t>,</w:t>
      </w:r>
      <w:r w:rsidRPr="00BA435B">
        <w:rPr>
          <w:rFonts w:asciiTheme="majorHAnsi" w:hAnsiTheme="majorHAnsi" w:cs="Calibri"/>
          <w:lang w:val="es-CO"/>
        </w:rPr>
        <w:t xml:space="preserve"> las universidades e Instituciones de Educación Superior </w:t>
      </w:r>
      <w:r w:rsidR="00600293" w:rsidRPr="00BA435B">
        <w:rPr>
          <w:rFonts w:asciiTheme="majorHAnsi" w:hAnsiTheme="majorHAnsi" w:cs="Calibri"/>
          <w:lang w:val="es-CO"/>
        </w:rPr>
        <w:t>(</w:t>
      </w:r>
      <w:r w:rsidRPr="00BA435B">
        <w:rPr>
          <w:rFonts w:asciiTheme="majorHAnsi" w:hAnsiTheme="majorHAnsi" w:cs="Calibri"/>
          <w:lang w:val="es-CO"/>
        </w:rPr>
        <w:t>IES</w:t>
      </w:r>
      <w:r w:rsidR="00600293" w:rsidRPr="00BA435B">
        <w:rPr>
          <w:rFonts w:asciiTheme="majorHAnsi" w:hAnsiTheme="majorHAnsi" w:cs="Calibri"/>
          <w:lang w:val="es-CO"/>
        </w:rPr>
        <w:t>)</w:t>
      </w:r>
      <w:r w:rsidRPr="00BA435B">
        <w:rPr>
          <w:rFonts w:asciiTheme="majorHAnsi" w:hAnsiTheme="majorHAnsi" w:cs="Calibri"/>
          <w:lang w:val="es-CO"/>
        </w:rPr>
        <w:t xml:space="preserve"> no participan de manera activa</w:t>
      </w:r>
      <w:r w:rsidR="00600293" w:rsidRPr="00BA435B">
        <w:rPr>
          <w:rFonts w:asciiTheme="majorHAnsi" w:hAnsiTheme="majorHAnsi" w:cs="Calibri"/>
          <w:lang w:val="es-CO"/>
        </w:rPr>
        <w:t xml:space="preserve"> en la construcción de las capacidades idóneas para la prestación del servicio. No</w:t>
      </w:r>
      <w:r w:rsidRPr="00BA435B">
        <w:rPr>
          <w:rFonts w:asciiTheme="majorHAnsi" w:hAnsiTheme="majorHAnsi" w:cs="Calibri"/>
          <w:lang w:val="es-CO"/>
        </w:rPr>
        <w:t xml:space="preserve"> cuentan con incentivos que promuevan la participación de profesionales en modelos de extensión y de asistencia técnica.</w:t>
      </w:r>
      <w:r w:rsidR="00600293" w:rsidRPr="00BA435B">
        <w:rPr>
          <w:rFonts w:asciiTheme="majorHAnsi" w:hAnsiTheme="majorHAnsi" w:cs="Calibri"/>
          <w:lang w:val="es-CO"/>
        </w:rPr>
        <w:t xml:space="preserve"> Se presume que las entidades dedicadas a la educación superior de profesionales para el sector agropecuario y rural se han concentrado</w:t>
      </w:r>
      <w:r w:rsidRPr="00BA435B">
        <w:rPr>
          <w:rFonts w:asciiTheme="majorHAnsi" w:hAnsiTheme="majorHAnsi" w:cs="Calibri"/>
          <w:spacing w:val="-5"/>
          <w:lang w:val="es-CO"/>
        </w:rPr>
        <w:t xml:space="preserve"> </w:t>
      </w:r>
      <w:r w:rsidRPr="00BA435B">
        <w:rPr>
          <w:rFonts w:asciiTheme="majorHAnsi" w:hAnsiTheme="majorHAnsi" w:cs="Calibri"/>
          <w:lang w:val="es-CO"/>
        </w:rPr>
        <w:t>en</w:t>
      </w:r>
      <w:r w:rsidRPr="00BA435B">
        <w:rPr>
          <w:rFonts w:asciiTheme="majorHAnsi" w:hAnsiTheme="majorHAnsi" w:cs="Calibri"/>
          <w:spacing w:val="-2"/>
          <w:lang w:val="es-CO"/>
        </w:rPr>
        <w:t xml:space="preserve"> </w:t>
      </w:r>
      <w:r w:rsidRPr="00BA435B">
        <w:rPr>
          <w:rFonts w:asciiTheme="majorHAnsi" w:hAnsiTheme="majorHAnsi" w:cs="Calibri"/>
          <w:lang w:val="es-CO"/>
        </w:rPr>
        <w:t>cumplir</w:t>
      </w:r>
      <w:r w:rsidRPr="00BA435B">
        <w:rPr>
          <w:rFonts w:asciiTheme="majorHAnsi" w:hAnsiTheme="majorHAnsi" w:cs="Calibri"/>
          <w:spacing w:val="-4"/>
          <w:lang w:val="es-CO"/>
        </w:rPr>
        <w:t xml:space="preserve"> </w:t>
      </w:r>
      <w:r w:rsidRPr="00BA435B">
        <w:rPr>
          <w:rFonts w:asciiTheme="majorHAnsi" w:hAnsiTheme="majorHAnsi" w:cs="Calibri"/>
          <w:lang w:val="es-CO"/>
        </w:rPr>
        <w:t>con</w:t>
      </w:r>
      <w:r w:rsidRPr="00BA435B">
        <w:rPr>
          <w:rFonts w:asciiTheme="majorHAnsi" w:hAnsiTheme="majorHAnsi" w:cs="Calibri"/>
          <w:spacing w:val="-6"/>
          <w:lang w:val="es-CO"/>
        </w:rPr>
        <w:t xml:space="preserve"> </w:t>
      </w:r>
      <w:r w:rsidRPr="00BA435B">
        <w:rPr>
          <w:rFonts w:asciiTheme="majorHAnsi" w:hAnsiTheme="majorHAnsi" w:cs="Calibri"/>
          <w:lang w:val="es-CO"/>
        </w:rPr>
        <w:t>indicadores</w:t>
      </w:r>
      <w:r w:rsidRPr="00BA435B">
        <w:rPr>
          <w:rFonts w:asciiTheme="majorHAnsi" w:hAnsiTheme="majorHAnsi" w:cs="Calibri"/>
          <w:spacing w:val="-4"/>
          <w:lang w:val="es-CO"/>
        </w:rPr>
        <w:t xml:space="preserve"> </w:t>
      </w:r>
      <w:r w:rsidRPr="00BA435B">
        <w:rPr>
          <w:rFonts w:asciiTheme="majorHAnsi" w:hAnsiTheme="majorHAnsi" w:cs="Calibri"/>
          <w:lang w:val="es-CO"/>
        </w:rPr>
        <w:t>de</w:t>
      </w:r>
      <w:r w:rsidRPr="00BA435B">
        <w:rPr>
          <w:rFonts w:asciiTheme="majorHAnsi" w:hAnsiTheme="majorHAnsi" w:cs="Calibri"/>
          <w:spacing w:val="-4"/>
          <w:lang w:val="es-CO"/>
        </w:rPr>
        <w:t xml:space="preserve"> </w:t>
      </w:r>
      <w:r w:rsidRPr="00BA435B">
        <w:rPr>
          <w:rFonts w:asciiTheme="majorHAnsi" w:hAnsiTheme="majorHAnsi" w:cs="Calibri"/>
          <w:lang w:val="es-CO"/>
        </w:rPr>
        <w:t>producción</w:t>
      </w:r>
      <w:r w:rsidRPr="00BA435B">
        <w:rPr>
          <w:rFonts w:asciiTheme="majorHAnsi" w:hAnsiTheme="majorHAnsi" w:cs="Calibri"/>
          <w:spacing w:val="-6"/>
          <w:lang w:val="es-CO"/>
        </w:rPr>
        <w:t xml:space="preserve"> </w:t>
      </w:r>
      <w:r w:rsidRPr="00BA435B">
        <w:rPr>
          <w:rFonts w:asciiTheme="majorHAnsi" w:hAnsiTheme="majorHAnsi" w:cs="Calibri"/>
          <w:lang w:val="es-CO"/>
        </w:rPr>
        <w:t>intelectual, desconociendo la aplicación de conocimiento y transferencia tecnológica en campo</w:t>
      </w:r>
      <w:r w:rsidR="009B7FEB" w:rsidRPr="00BA435B">
        <w:rPr>
          <w:rFonts w:asciiTheme="majorHAnsi" w:hAnsiTheme="majorHAnsi" w:cs="Calibri"/>
          <w:lang w:val="es-CO"/>
        </w:rPr>
        <w:t xml:space="preserve"> y el reconcomiendo de los pobladores rurales desde un enfoque de género, diferencial y territorial</w:t>
      </w:r>
      <w:r w:rsidRPr="00BA435B">
        <w:rPr>
          <w:rFonts w:asciiTheme="majorHAnsi" w:hAnsiTheme="majorHAnsi" w:cs="Calibri"/>
          <w:lang w:val="es-CO"/>
        </w:rPr>
        <w:t>.</w:t>
      </w:r>
    </w:p>
    <w:p w14:paraId="48DD38D0" w14:textId="77777777" w:rsidR="006D2769" w:rsidRPr="00BA435B" w:rsidRDefault="006D2769" w:rsidP="006D2769">
      <w:pPr>
        <w:pStyle w:val="Textoindependiente"/>
        <w:spacing w:before="1"/>
        <w:ind w:right="49"/>
        <w:jc w:val="both"/>
        <w:rPr>
          <w:rFonts w:asciiTheme="majorHAnsi" w:hAnsiTheme="majorHAnsi" w:cs="Calibri"/>
          <w:lang w:val="es-CO"/>
        </w:rPr>
      </w:pPr>
    </w:p>
    <w:p w14:paraId="0C16E336" w14:textId="6B6D7FE5" w:rsidR="006D2769" w:rsidRPr="00BA435B" w:rsidRDefault="00600293" w:rsidP="001973C5">
      <w:pPr>
        <w:pStyle w:val="Textoindependiente"/>
        <w:ind w:right="49"/>
        <w:jc w:val="both"/>
        <w:rPr>
          <w:rFonts w:asciiTheme="majorHAnsi" w:hAnsiTheme="majorHAnsi" w:cs="Calibri"/>
          <w:lang w:val="es-CO"/>
        </w:rPr>
      </w:pPr>
      <w:r w:rsidRPr="00BA435B">
        <w:rPr>
          <w:rFonts w:asciiTheme="majorHAnsi" w:hAnsiTheme="majorHAnsi" w:cs="Calibri"/>
          <w:lang w:val="es-CO"/>
        </w:rPr>
        <w:t xml:space="preserve">A su vez </w:t>
      </w:r>
      <w:r w:rsidR="006D2769" w:rsidRPr="00BA435B">
        <w:rPr>
          <w:rFonts w:asciiTheme="majorHAnsi" w:hAnsiTheme="majorHAnsi" w:cs="Calibri"/>
          <w:lang w:val="es-CO"/>
        </w:rPr>
        <w:t>la</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investigación</w:t>
      </w:r>
      <w:r w:rsidRPr="00BA435B">
        <w:rPr>
          <w:rFonts w:asciiTheme="majorHAnsi" w:hAnsiTheme="majorHAnsi" w:cs="Calibri"/>
          <w:lang w:val="es-CO"/>
        </w:rPr>
        <w:t xml:space="preserve"> técnico-científica</w:t>
      </w:r>
      <w:r w:rsidR="006D2769" w:rsidRPr="00BA435B">
        <w:rPr>
          <w:rFonts w:asciiTheme="majorHAnsi" w:hAnsiTheme="majorHAnsi" w:cs="Calibri"/>
          <w:spacing w:val="-7"/>
          <w:lang w:val="es-CO"/>
        </w:rPr>
        <w:t xml:space="preserve"> </w:t>
      </w:r>
      <w:r w:rsidR="006D2769" w:rsidRPr="00BA435B">
        <w:rPr>
          <w:rFonts w:asciiTheme="majorHAnsi" w:hAnsiTheme="majorHAnsi" w:cs="Calibri"/>
          <w:lang w:val="es-CO"/>
        </w:rPr>
        <w:t>no</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responde</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a</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las</w:t>
      </w:r>
      <w:r w:rsidR="006D2769" w:rsidRPr="00BA435B">
        <w:rPr>
          <w:rFonts w:asciiTheme="majorHAnsi" w:hAnsiTheme="majorHAnsi" w:cs="Calibri"/>
          <w:spacing w:val="-8"/>
          <w:lang w:val="es-CO"/>
        </w:rPr>
        <w:t xml:space="preserve"> </w:t>
      </w:r>
      <w:r w:rsidR="006D2769" w:rsidRPr="00BA435B">
        <w:rPr>
          <w:rFonts w:asciiTheme="majorHAnsi" w:hAnsiTheme="majorHAnsi" w:cs="Calibri"/>
          <w:lang w:val="es-CO"/>
        </w:rPr>
        <w:t>necesidades</w:t>
      </w:r>
      <w:r w:rsidR="006D2769" w:rsidRPr="00BA435B">
        <w:rPr>
          <w:rFonts w:asciiTheme="majorHAnsi" w:hAnsiTheme="majorHAnsi" w:cs="Calibri"/>
          <w:spacing w:val="-7"/>
          <w:lang w:val="es-CO"/>
        </w:rPr>
        <w:t xml:space="preserve"> </w:t>
      </w:r>
      <w:r w:rsidR="006D2769" w:rsidRPr="00BA435B">
        <w:rPr>
          <w:rFonts w:asciiTheme="majorHAnsi" w:hAnsiTheme="majorHAnsi" w:cs="Calibri"/>
          <w:lang w:val="es-CO"/>
        </w:rPr>
        <w:t>de</w:t>
      </w:r>
      <w:r w:rsidR="006D2769" w:rsidRPr="00BA435B">
        <w:rPr>
          <w:rFonts w:asciiTheme="majorHAnsi" w:hAnsiTheme="majorHAnsi" w:cs="Calibri"/>
          <w:spacing w:val="-8"/>
          <w:lang w:val="es-CO"/>
        </w:rPr>
        <w:t xml:space="preserve"> </w:t>
      </w:r>
      <w:r w:rsidR="006D2769" w:rsidRPr="00BA435B">
        <w:rPr>
          <w:rFonts w:asciiTheme="majorHAnsi" w:hAnsiTheme="majorHAnsi" w:cs="Calibri"/>
          <w:lang w:val="es-CO"/>
        </w:rPr>
        <w:t>la</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productividad lo</w:t>
      </w:r>
      <w:r w:rsidR="006D2769" w:rsidRPr="00BA435B">
        <w:rPr>
          <w:rFonts w:asciiTheme="majorHAnsi" w:hAnsiTheme="majorHAnsi" w:cs="Calibri"/>
          <w:spacing w:val="-10"/>
          <w:lang w:val="es-CO"/>
        </w:rPr>
        <w:t xml:space="preserve"> </w:t>
      </w:r>
      <w:r w:rsidRPr="00BA435B">
        <w:rPr>
          <w:rFonts w:asciiTheme="majorHAnsi" w:hAnsiTheme="majorHAnsi" w:cs="Calibri"/>
          <w:lang w:val="es-CO"/>
        </w:rPr>
        <w:t>que</w:t>
      </w:r>
      <w:r w:rsidRPr="00BA435B">
        <w:rPr>
          <w:rFonts w:asciiTheme="majorHAnsi" w:hAnsiTheme="majorHAnsi" w:cs="Calibri"/>
          <w:spacing w:val="-8"/>
          <w:lang w:val="es-CO"/>
        </w:rPr>
        <w:t xml:space="preserve"> </w:t>
      </w:r>
      <w:r w:rsidR="006D2769" w:rsidRPr="00BA435B">
        <w:rPr>
          <w:rFonts w:asciiTheme="majorHAnsi" w:hAnsiTheme="majorHAnsi" w:cs="Calibri"/>
          <w:lang w:val="es-CO"/>
        </w:rPr>
        <w:t>genera</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una</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brecha</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entre</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el</w:t>
      </w:r>
      <w:r w:rsidR="006D2769" w:rsidRPr="00BA435B">
        <w:rPr>
          <w:rFonts w:asciiTheme="majorHAnsi" w:hAnsiTheme="majorHAnsi" w:cs="Calibri"/>
          <w:spacing w:val="-8"/>
          <w:lang w:val="es-CO"/>
        </w:rPr>
        <w:t xml:space="preserve"> </w:t>
      </w:r>
      <w:r w:rsidR="006D2769" w:rsidRPr="00BA435B">
        <w:rPr>
          <w:rFonts w:asciiTheme="majorHAnsi" w:hAnsiTheme="majorHAnsi" w:cs="Calibri"/>
          <w:lang w:val="es-CO"/>
        </w:rPr>
        <w:t>generador</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de</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conocimiento</w:t>
      </w:r>
      <w:r w:rsidR="006D2769" w:rsidRPr="00BA435B">
        <w:rPr>
          <w:rFonts w:asciiTheme="majorHAnsi" w:hAnsiTheme="majorHAnsi" w:cs="Calibri"/>
          <w:spacing w:val="-10"/>
          <w:lang w:val="es-CO"/>
        </w:rPr>
        <w:t xml:space="preserve"> </w:t>
      </w:r>
      <w:r w:rsidR="006D2769" w:rsidRPr="00BA435B">
        <w:rPr>
          <w:rFonts w:asciiTheme="majorHAnsi" w:hAnsiTheme="majorHAnsi" w:cs="Calibri"/>
          <w:lang w:val="es-CO"/>
        </w:rPr>
        <w:t>y</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el</w:t>
      </w:r>
      <w:r w:rsidR="006D2769" w:rsidRPr="00BA435B">
        <w:rPr>
          <w:rFonts w:asciiTheme="majorHAnsi" w:hAnsiTheme="majorHAnsi" w:cs="Calibri"/>
          <w:spacing w:val="-8"/>
          <w:lang w:val="es-CO"/>
        </w:rPr>
        <w:t xml:space="preserve"> </w:t>
      </w:r>
      <w:r w:rsidR="006D2769" w:rsidRPr="00BA435B">
        <w:rPr>
          <w:rFonts w:asciiTheme="majorHAnsi" w:hAnsiTheme="majorHAnsi" w:cs="Calibri"/>
          <w:lang w:val="es-CO"/>
        </w:rPr>
        <w:t>productor</w:t>
      </w:r>
      <w:r w:rsidR="006D2769" w:rsidRPr="00BA435B">
        <w:rPr>
          <w:rFonts w:asciiTheme="majorHAnsi" w:hAnsiTheme="majorHAnsi" w:cs="Calibri"/>
          <w:spacing w:val="-9"/>
          <w:lang w:val="es-CO"/>
        </w:rPr>
        <w:t xml:space="preserve"> </w:t>
      </w:r>
      <w:r w:rsidR="006D2769" w:rsidRPr="00BA435B">
        <w:rPr>
          <w:rFonts w:asciiTheme="majorHAnsi" w:hAnsiTheme="majorHAnsi" w:cs="Calibri"/>
          <w:lang w:val="es-CO"/>
        </w:rPr>
        <w:t>que requiere de la</w:t>
      </w:r>
      <w:r w:rsidR="006D2769" w:rsidRPr="00BA435B">
        <w:rPr>
          <w:rFonts w:asciiTheme="majorHAnsi" w:hAnsiTheme="majorHAnsi" w:cs="Calibri"/>
          <w:spacing w:val="-10"/>
          <w:lang w:val="es-CO"/>
        </w:rPr>
        <w:t xml:space="preserve"> </w:t>
      </w:r>
      <w:r w:rsidR="006D2769" w:rsidRPr="00BA435B">
        <w:rPr>
          <w:rFonts w:asciiTheme="majorHAnsi" w:hAnsiTheme="majorHAnsi" w:cs="Calibri"/>
          <w:lang w:val="es-CO"/>
        </w:rPr>
        <w:t>solución.</w:t>
      </w:r>
      <w:r w:rsidR="00AD7252">
        <w:rPr>
          <w:rFonts w:asciiTheme="majorHAnsi" w:hAnsiTheme="majorHAnsi" w:cs="Calibri"/>
          <w:lang w:val="es-CO"/>
        </w:rPr>
        <w:t xml:space="preserve"> </w:t>
      </w:r>
      <w:r w:rsidR="006D2769" w:rsidRPr="00BA435B">
        <w:rPr>
          <w:rFonts w:asciiTheme="majorHAnsi" w:hAnsiTheme="majorHAnsi" w:cs="Calibri"/>
          <w:lang w:val="es-CO"/>
        </w:rPr>
        <w:t>Adicionalmente,</w:t>
      </w:r>
      <w:r w:rsidR="006D2769" w:rsidRPr="00BA435B">
        <w:rPr>
          <w:rFonts w:asciiTheme="majorHAnsi" w:hAnsiTheme="majorHAnsi" w:cs="Calibri"/>
          <w:spacing w:val="-16"/>
          <w:lang w:val="es-CO"/>
        </w:rPr>
        <w:t xml:space="preserve"> </w:t>
      </w:r>
      <w:r w:rsidR="006D2769" w:rsidRPr="00BA435B">
        <w:rPr>
          <w:rFonts w:asciiTheme="majorHAnsi" w:hAnsiTheme="majorHAnsi" w:cs="Calibri"/>
          <w:lang w:val="es-CO"/>
        </w:rPr>
        <w:t>no</w:t>
      </w:r>
      <w:r w:rsidR="006D2769" w:rsidRPr="00BA435B">
        <w:rPr>
          <w:rFonts w:asciiTheme="majorHAnsi" w:hAnsiTheme="majorHAnsi" w:cs="Calibri"/>
          <w:spacing w:val="-18"/>
          <w:lang w:val="es-CO"/>
        </w:rPr>
        <w:t xml:space="preserve"> </w:t>
      </w:r>
      <w:r w:rsidR="006D2769" w:rsidRPr="00BA435B">
        <w:rPr>
          <w:rFonts w:asciiTheme="majorHAnsi" w:hAnsiTheme="majorHAnsi" w:cs="Calibri"/>
          <w:lang w:val="es-CO"/>
        </w:rPr>
        <w:t>existen</w:t>
      </w:r>
      <w:r w:rsidR="006D2769" w:rsidRPr="00BA435B">
        <w:rPr>
          <w:rFonts w:asciiTheme="majorHAnsi" w:hAnsiTheme="majorHAnsi" w:cs="Calibri"/>
          <w:spacing w:val="-16"/>
          <w:lang w:val="es-CO"/>
        </w:rPr>
        <w:t xml:space="preserve"> </w:t>
      </w:r>
      <w:r w:rsidR="006D2769" w:rsidRPr="00BA435B">
        <w:rPr>
          <w:rFonts w:asciiTheme="majorHAnsi" w:hAnsiTheme="majorHAnsi" w:cs="Calibri"/>
          <w:lang w:val="es-CO"/>
        </w:rPr>
        <w:t>programas</w:t>
      </w:r>
      <w:r w:rsidR="006D2769" w:rsidRPr="00BA435B">
        <w:rPr>
          <w:rFonts w:asciiTheme="majorHAnsi" w:hAnsiTheme="majorHAnsi" w:cs="Calibri"/>
          <w:spacing w:val="-15"/>
          <w:lang w:val="es-CO"/>
        </w:rPr>
        <w:t xml:space="preserve"> </w:t>
      </w:r>
      <w:r w:rsidR="006D2769" w:rsidRPr="00BA435B">
        <w:rPr>
          <w:rFonts w:asciiTheme="majorHAnsi" w:hAnsiTheme="majorHAnsi" w:cs="Calibri"/>
          <w:lang w:val="es-CO"/>
        </w:rPr>
        <w:t>de</w:t>
      </w:r>
      <w:r w:rsidR="006D2769" w:rsidRPr="00BA435B">
        <w:rPr>
          <w:rFonts w:asciiTheme="majorHAnsi" w:hAnsiTheme="majorHAnsi" w:cs="Calibri"/>
          <w:spacing w:val="-17"/>
          <w:lang w:val="es-CO"/>
        </w:rPr>
        <w:t xml:space="preserve"> </w:t>
      </w:r>
      <w:r w:rsidR="006D2769" w:rsidRPr="00BA435B">
        <w:rPr>
          <w:rFonts w:asciiTheme="majorHAnsi" w:hAnsiTheme="majorHAnsi" w:cs="Calibri"/>
          <w:lang w:val="es-CO"/>
        </w:rPr>
        <w:t>certificación</w:t>
      </w:r>
      <w:r w:rsidR="006D2769" w:rsidRPr="00BA435B">
        <w:rPr>
          <w:rFonts w:asciiTheme="majorHAnsi" w:hAnsiTheme="majorHAnsi" w:cs="Calibri"/>
          <w:spacing w:val="-16"/>
          <w:lang w:val="es-CO"/>
        </w:rPr>
        <w:t xml:space="preserve"> </w:t>
      </w:r>
      <w:r w:rsidR="006D2769" w:rsidRPr="00BA435B">
        <w:rPr>
          <w:rFonts w:asciiTheme="majorHAnsi" w:hAnsiTheme="majorHAnsi" w:cs="Calibri"/>
          <w:lang w:val="es-CO"/>
        </w:rPr>
        <w:t>de</w:t>
      </w:r>
      <w:r w:rsidR="006D2769" w:rsidRPr="00BA435B">
        <w:rPr>
          <w:rFonts w:asciiTheme="majorHAnsi" w:hAnsiTheme="majorHAnsi" w:cs="Calibri"/>
          <w:spacing w:val="-15"/>
          <w:lang w:val="es-CO"/>
        </w:rPr>
        <w:t xml:space="preserve"> </w:t>
      </w:r>
      <w:r w:rsidR="006D2769" w:rsidRPr="00BA435B">
        <w:rPr>
          <w:rFonts w:asciiTheme="majorHAnsi" w:hAnsiTheme="majorHAnsi" w:cs="Calibri"/>
          <w:lang w:val="es-CO"/>
        </w:rPr>
        <w:t>proveedores</w:t>
      </w:r>
      <w:r w:rsidR="006D2769" w:rsidRPr="00BA435B">
        <w:rPr>
          <w:rFonts w:asciiTheme="majorHAnsi" w:hAnsiTheme="majorHAnsi" w:cs="Calibri"/>
          <w:spacing w:val="-17"/>
          <w:lang w:val="es-CO"/>
        </w:rPr>
        <w:t xml:space="preserve"> </w:t>
      </w:r>
      <w:r w:rsidR="006D2769" w:rsidRPr="00BA435B">
        <w:rPr>
          <w:rFonts w:asciiTheme="majorHAnsi" w:hAnsiTheme="majorHAnsi" w:cs="Calibri"/>
          <w:lang w:val="es-CO"/>
        </w:rPr>
        <w:t>de</w:t>
      </w:r>
      <w:r w:rsidR="006D2769" w:rsidRPr="00BA435B">
        <w:rPr>
          <w:rFonts w:asciiTheme="majorHAnsi" w:hAnsiTheme="majorHAnsi" w:cs="Calibri"/>
          <w:spacing w:val="-17"/>
          <w:lang w:val="es-CO"/>
        </w:rPr>
        <w:t xml:space="preserve"> </w:t>
      </w:r>
      <w:r w:rsidR="006D2769" w:rsidRPr="00BA435B">
        <w:rPr>
          <w:rFonts w:asciiTheme="majorHAnsi" w:hAnsiTheme="majorHAnsi" w:cs="Calibri"/>
          <w:lang w:val="es-CO"/>
        </w:rPr>
        <w:t>servicios de asistencia técnica, ni planes de formación para</w:t>
      </w:r>
      <w:r w:rsidR="006D2769" w:rsidRPr="00BA435B">
        <w:rPr>
          <w:rFonts w:asciiTheme="majorHAnsi" w:hAnsiTheme="majorHAnsi" w:cs="Calibri"/>
          <w:spacing w:val="-27"/>
          <w:lang w:val="es-CO"/>
        </w:rPr>
        <w:t xml:space="preserve"> </w:t>
      </w:r>
      <w:r w:rsidR="006D2769" w:rsidRPr="00BA435B">
        <w:rPr>
          <w:rFonts w:asciiTheme="majorHAnsi" w:hAnsiTheme="majorHAnsi" w:cs="Calibri"/>
          <w:lang w:val="es-CO"/>
        </w:rPr>
        <w:t>extensionistas.</w:t>
      </w:r>
    </w:p>
    <w:p w14:paraId="65174B88" w14:textId="77777777" w:rsidR="006D2769" w:rsidRPr="00BA435B" w:rsidRDefault="006D2769" w:rsidP="006D2769">
      <w:pPr>
        <w:pStyle w:val="Textoindependiente"/>
        <w:spacing w:before="6"/>
        <w:ind w:right="49"/>
        <w:jc w:val="both"/>
        <w:rPr>
          <w:rFonts w:asciiTheme="majorHAnsi" w:hAnsiTheme="majorHAnsi" w:cs="Calibri"/>
          <w:lang w:val="es-CO"/>
        </w:rPr>
      </w:pPr>
    </w:p>
    <w:p w14:paraId="49B99418" w14:textId="555D65AF" w:rsidR="006D2769" w:rsidRPr="00BA435B" w:rsidRDefault="006D2769" w:rsidP="00EA162D">
      <w:pPr>
        <w:pStyle w:val="Ttulo3"/>
        <w:numPr>
          <w:ilvl w:val="2"/>
          <w:numId w:val="5"/>
        </w:numPr>
        <w:rPr>
          <w:color w:val="auto"/>
        </w:rPr>
      </w:pPr>
      <w:bookmarkStart w:id="7" w:name="_Toc4680862"/>
      <w:r w:rsidRPr="00BA435B">
        <w:rPr>
          <w:color w:val="auto"/>
        </w:rPr>
        <w:t xml:space="preserve">Debilidades en la financiación </w:t>
      </w:r>
      <w:r w:rsidR="00674415" w:rsidRPr="00BA435B">
        <w:rPr>
          <w:color w:val="auto"/>
        </w:rPr>
        <w:t>del modelo ATA</w:t>
      </w:r>
      <w:bookmarkEnd w:id="7"/>
    </w:p>
    <w:p w14:paraId="349BBF9E" w14:textId="77777777" w:rsidR="00600293" w:rsidRPr="00BA435B" w:rsidRDefault="00600293" w:rsidP="006D2769">
      <w:pPr>
        <w:pStyle w:val="Textoindependiente"/>
        <w:ind w:right="49"/>
        <w:jc w:val="both"/>
        <w:rPr>
          <w:rFonts w:asciiTheme="majorHAnsi" w:hAnsiTheme="majorHAnsi" w:cs="Calibri"/>
          <w:lang w:val="es-CO"/>
        </w:rPr>
      </w:pPr>
    </w:p>
    <w:p w14:paraId="5612ECEF" w14:textId="6430B4C0" w:rsidR="006D2769" w:rsidRPr="00BA435B" w:rsidRDefault="006D2769" w:rsidP="001973C5">
      <w:pPr>
        <w:pStyle w:val="Textoindependiente"/>
        <w:ind w:right="49"/>
        <w:jc w:val="both"/>
        <w:rPr>
          <w:rFonts w:asciiTheme="majorHAnsi" w:hAnsiTheme="majorHAnsi" w:cs="Calibri"/>
          <w:lang w:val="es-CO"/>
        </w:rPr>
      </w:pPr>
      <w:r w:rsidRPr="00BA435B">
        <w:rPr>
          <w:rFonts w:asciiTheme="majorHAnsi" w:hAnsiTheme="majorHAnsi" w:cs="Calibri"/>
          <w:lang w:val="es-CO"/>
        </w:rPr>
        <w:t>Actualmente</w:t>
      </w:r>
      <w:r w:rsidRPr="00BA435B">
        <w:rPr>
          <w:rFonts w:asciiTheme="majorHAnsi" w:hAnsiTheme="majorHAnsi" w:cs="Calibri"/>
          <w:spacing w:val="-10"/>
          <w:lang w:val="es-CO"/>
        </w:rPr>
        <w:t xml:space="preserve"> </w:t>
      </w:r>
      <w:r w:rsidRPr="00BA435B">
        <w:rPr>
          <w:rFonts w:asciiTheme="majorHAnsi" w:hAnsiTheme="majorHAnsi" w:cs="Calibri"/>
          <w:lang w:val="es-CO"/>
        </w:rPr>
        <w:t>no</w:t>
      </w:r>
      <w:r w:rsidRPr="00BA435B">
        <w:rPr>
          <w:rFonts w:asciiTheme="majorHAnsi" w:hAnsiTheme="majorHAnsi" w:cs="Calibri"/>
          <w:spacing w:val="-11"/>
          <w:lang w:val="es-CO"/>
        </w:rPr>
        <w:t xml:space="preserve"> </w:t>
      </w:r>
      <w:r w:rsidRPr="00BA435B">
        <w:rPr>
          <w:rFonts w:asciiTheme="majorHAnsi" w:hAnsiTheme="majorHAnsi" w:cs="Calibri"/>
          <w:lang w:val="es-CO"/>
        </w:rPr>
        <w:t>existen</w:t>
      </w:r>
      <w:r w:rsidRPr="00BA435B">
        <w:rPr>
          <w:rFonts w:asciiTheme="majorHAnsi" w:hAnsiTheme="majorHAnsi" w:cs="Calibri"/>
          <w:spacing w:val="-11"/>
          <w:lang w:val="es-CO"/>
        </w:rPr>
        <w:t xml:space="preserve"> </w:t>
      </w:r>
      <w:r w:rsidRPr="00BA435B">
        <w:rPr>
          <w:rFonts w:asciiTheme="majorHAnsi" w:hAnsiTheme="majorHAnsi" w:cs="Calibri"/>
          <w:lang w:val="es-CO"/>
        </w:rPr>
        <w:t>fuentes</w:t>
      </w:r>
      <w:r w:rsidRPr="00BA435B">
        <w:rPr>
          <w:rFonts w:asciiTheme="majorHAnsi" w:hAnsiTheme="majorHAnsi" w:cs="Calibri"/>
          <w:spacing w:val="-10"/>
          <w:lang w:val="es-CO"/>
        </w:rPr>
        <w:t xml:space="preserve"> </w:t>
      </w:r>
      <w:r w:rsidRPr="00BA435B">
        <w:rPr>
          <w:rFonts w:asciiTheme="majorHAnsi" w:hAnsiTheme="majorHAnsi" w:cs="Calibri"/>
          <w:lang w:val="es-CO"/>
        </w:rPr>
        <w:t>de</w:t>
      </w:r>
      <w:r w:rsidRPr="00BA435B">
        <w:rPr>
          <w:rFonts w:asciiTheme="majorHAnsi" w:hAnsiTheme="majorHAnsi" w:cs="Calibri"/>
          <w:spacing w:val="-10"/>
          <w:lang w:val="es-CO"/>
        </w:rPr>
        <w:t xml:space="preserve"> </w:t>
      </w:r>
      <w:r w:rsidRPr="00BA435B">
        <w:rPr>
          <w:rFonts w:asciiTheme="majorHAnsi" w:hAnsiTheme="majorHAnsi" w:cs="Calibri"/>
          <w:lang w:val="es-CO"/>
        </w:rPr>
        <w:t>financiación</w:t>
      </w:r>
      <w:r w:rsidRPr="00BA435B">
        <w:rPr>
          <w:rFonts w:asciiTheme="majorHAnsi" w:hAnsiTheme="majorHAnsi" w:cs="Calibri"/>
          <w:spacing w:val="-9"/>
          <w:lang w:val="es-CO"/>
        </w:rPr>
        <w:t xml:space="preserve"> </w:t>
      </w:r>
      <w:r w:rsidRPr="00BA435B">
        <w:rPr>
          <w:rFonts w:asciiTheme="majorHAnsi" w:hAnsiTheme="majorHAnsi" w:cs="Calibri"/>
          <w:lang w:val="es-CO"/>
        </w:rPr>
        <w:t>del</w:t>
      </w:r>
      <w:r w:rsidRPr="00BA435B">
        <w:rPr>
          <w:rFonts w:asciiTheme="majorHAnsi" w:hAnsiTheme="majorHAnsi" w:cs="Calibri"/>
          <w:spacing w:val="-9"/>
          <w:lang w:val="es-CO"/>
        </w:rPr>
        <w:t xml:space="preserve"> </w:t>
      </w:r>
      <w:r w:rsidRPr="00BA435B">
        <w:rPr>
          <w:rFonts w:asciiTheme="majorHAnsi" w:hAnsiTheme="majorHAnsi" w:cs="Calibri"/>
          <w:lang w:val="es-CO"/>
        </w:rPr>
        <w:t>Gobierno</w:t>
      </w:r>
      <w:r w:rsidRPr="00BA435B">
        <w:rPr>
          <w:rFonts w:asciiTheme="majorHAnsi" w:hAnsiTheme="majorHAnsi" w:cs="Calibri"/>
          <w:spacing w:val="-11"/>
          <w:lang w:val="es-CO"/>
        </w:rPr>
        <w:t xml:space="preserve"> </w:t>
      </w:r>
      <w:r w:rsidRPr="00BA435B">
        <w:rPr>
          <w:rFonts w:asciiTheme="majorHAnsi" w:hAnsiTheme="majorHAnsi" w:cs="Calibri"/>
          <w:lang w:val="es-CO"/>
        </w:rPr>
        <w:t>Nacional</w:t>
      </w:r>
      <w:r w:rsidRPr="00BA435B">
        <w:rPr>
          <w:rFonts w:asciiTheme="majorHAnsi" w:hAnsiTheme="majorHAnsi" w:cs="Calibri"/>
          <w:spacing w:val="-9"/>
          <w:lang w:val="es-CO"/>
        </w:rPr>
        <w:t xml:space="preserve"> </w:t>
      </w:r>
      <w:r w:rsidRPr="00BA435B">
        <w:rPr>
          <w:rFonts w:asciiTheme="majorHAnsi" w:hAnsiTheme="majorHAnsi" w:cs="Calibri"/>
          <w:lang w:val="es-CO"/>
        </w:rPr>
        <w:t>de</w:t>
      </w:r>
      <w:r w:rsidRPr="00BA435B">
        <w:rPr>
          <w:rFonts w:asciiTheme="majorHAnsi" w:hAnsiTheme="majorHAnsi" w:cs="Calibri"/>
          <w:spacing w:val="-10"/>
          <w:lang w:val="es-CO"/>
        </w:rPr>
        <w:t xml:space="preserve"> </w:t>
      </w:r>
      <w:r w:rsidRPr="00BA435B">
        <w:rPr>
          <w:rFonts w:asciiTheme="majorHAnsi" w:hAnsiTheme="majorHAnsi" w:cs="Calibri"/>
          <w:lang w:val="es-CO"/>
        </w:rPr>
        <w:t>manera directa,</w:t>
      </w:r>
      <w:r w:rsidRPr="00BA435B">
        <w:rPr>
          <w:rFonts w:asciiTheme="majorHAnsi" w:hAnsiTheme="majorHAnsi" w:cs="Calibri"/>
          <w:spacing w:val="-10"/>
          <w:lang w:val="es-CO"/>
        </w:rPr>
        <w:t xml:space="preserve"> </w:t>
      </w:r>
      <w:r w:rsidRPr="00BA435B">
        <w:rPr>
          <w:rFonts w:asciiTheme="majorHAnsi" w:hAnsiTheme="majorHAnsi" w:cs="Calibri"/>
          <w:lang w:val="es-CO"/>
        </w:rPr>
        <w:t>salvo</w:t>
      </w:r>
      <w:r w:rsidRPr="00BA435B">
        <w:rPr>
          <w:rFonts w:asciiTheme="majorHAnsi" w:hAnsiTheme="majorHAnsi" w:cs="Calibri"/>
          <w:spacing w:val="-10"/>
          <w:lang w:val="es-CO"/>
        </w:rPr>
        <w:t xml:space="preserve"> </w:t>
      </w:r>
      <w:r w:rsidRPr="00BA435B">
        <w:rPr>
          <w:rFonts w:asciiTheme="majorHAnsi" w:hAnsiTheme="majorHAnsi" w:cs="Calibri"/>
          <w:lang w:val="es-CO"/>
        </w:rPr>
        <w:t>los</w:t>
      </w:r>
      <w:r w:rsidRPr="00BA435B">
        <w:rPr>
          <w:rFonts w:asciiTheme="majorHAnsi" w:hAnsiTheme="majorHAnsi" w:cs="Calibri"/>
          <w:spacing w:val="-12"/>
          <w:lang w:val="es-CO"/>
        </w:rPr>
        <w:t xml:space="preserve"> </w:t>
      </w:r>
      <w:r w:rsidRPr="00BA435B">
        <w:rPr>
          <w:rFonts w:asciiTheme="majorHAnsi" w:hAnsiTheme="majorHAnsi" w:cs="Calibri"/>
          <w:lang w:val="es-CO"/>
        </w:rPr>
        <w:t>subsidios</w:t>
      </w:r>
      <w:r w:rsidRPr="00BA435B">
        <w:rPr>
          <w:rFonts w:asciiTheme="majorHAnsi" w:hAnsiTheme="majorHAnsi" w:cs="Calibri"/>
          <w:spacing w:val="-9"/>
          <w:lang w:val="es-CO"/>
        </w:rPr>
        <w:t xml:space="preserve"> </w:t>
      </w:r>
      <w:r w:rsidRPr="00BA435B">
        <w:rPr>
          <w:rFonts w:asciiTheme="majorHAnsi" w:hAnsiTheme="majorHAnsi" w:cs="Calibri"/>
          <w:lang w:val="es-CO"/>
        </w:rPr>
        <w:t>otorgados</w:t>
      </w:r>
      <w:r w:rsidRPr="00BA435B">
        <w:rPr>
          <w:rFonts w:asciiTheme="majorHAnsi" w:hAnsiTheme="majorHAnsi" w:cs="Calibri"/>
          <w:spacing w:val="-9"/>
          <w:lang w:val="es-CO"/>
        </w:rPr>
        <w:t xml:space="preserve"> </w:t>
      </w:r>
      <w:r w:rsidRPr="00BA435B">
        <w:rPr>
          <w:rFonts w:asciiTheme="majorHAnsi" w:hAnsiTheme="majorHAnsi" w:cs="Calibri"/>
          <w:lang w:val="es-CO"/>
        </w:rPr>
        <w:t>por</w:t>
      </w:r>
      <w:r w:rsidRPr="00BA435B">
        <w:rPr>
          <w:rFonts w:asciiTheme="majorHAnsi" w:hAnsiTheme="majorHAnsi" w:cs="Calibri"/>
          <w:spacing w:val="-9"/>
          <w:lang w:val="es-CO"/>
        </w:rPr>
        <w:t xml:space="preserve"> </w:t>
      </w:r>
      <w:r w:rsidRPr="00BA435B">
        <w:rPr>
          <w:rFonts w:asciiTheme="majorHAnsi" w:hAnsiTheme="majorHAnsi" w:cs="Calibri"/>
          <w:lang w:val="es-CO"/>
        </w:rPr>
        <w:t>programas</w:t>
      </w:r>
      <w:r w:rsidRPr="00BA435B">
        <w:rPr>
          <w:rFonts w:asciiTheme="majorHAnsi" w:hAnsiTheme="majorHAnsi" w:cs="Calibri"/>
          <w:spacing w:val="-9"/>
          <w:lang w:val="es-CO"/>
        </w:rPr>
        <w:t xml:space="preserve"> </w:t>
      </w:r>
      <w:r w:rsidRPr="00BA435B">
        <w:rPr>
          <w:rFonts w:asciiTheme="majorHAnsi" w:hAnsiTheme="majorHAnsi" w:cs="Calibri"/>
          <w:lang w:val="es-CO"/>
        </w:rPr>
        <w:t>como</w:t>
      </w:r>
      <w:r w:rsidRPr="00BA435B">
        <w:rPr>
          <w:rFonts w:asciiTheme="majorHAnsi" w:hAnsiTheme="majorHAnsi" w:cs="Calibri"/>
          <w:spacing w:val="-10"/>
          <w:lang w:val="es-CO"/>
        </w:rPr>
        <w:t xml:space="preserve"> </w:t>
      </w:r>
      <w:r w:rsidRPr="00BA435B">
        <w:rPr>
          <w:rFonts w:asciiTheme="majorHAnsi" w:hAnsiTheme="majorHAnsi" w:cs="Calibri"/>
          <w:lang w:val="es-CO"/>
        </w:rPr>
        <w:t>DRE</w:t>
      </w:r>
      <w:r w:rsidRPr="00BA435B">
        <w:rPr>
          <w:rFonts w:asciiTheme="majorHAnsi" w:hAnsiTheme="majorHAnsi" w:cs="Calibri"/>
          <w:spacing w:val="-10"/>
          <w:lang w:val="es-CO"/>
        </w:rPr>
        <w:t xml:space="preserve"> </w:t>
      </w:r>
      <w:r w:rsidRPr="00BA435B">
        <w:rPr>
          <w:rFonts w:asciiTheme="majorHAnsi" w:hAnsiTheme="majorHAnsi" w:cs="Calibri"/>
          <w:lang w:val="es-CO"/>
        </w:rPr>
        <w:t>(AIS)</w:t>
      </w:r>
      <w:r w:rsidRPr="00BA435B">
        <w:rPr>
          <w:rFonts w:asciiTheme="majorHAnsi" w:hAnsiTheme="majorHAnsi" w:cs="Calibri"/>
          <w:spacing w:val="-7"/>
          <w:lang w:val="es-CO"/>
        </w:rPr>
        <w:t xml:space="preserve"> </w:t>
      </w:r>
      <w:r w:rsidRPr="00BA435B">
        <w:rPr>
          <w:rFonts w:asciiTheme="majorHAnsi" w:hAnsiTheme="majorHAnsi" w:cs="Calibri"/>
          <w:lang w:val="es-CO"/>
        </w:rPr>
        <w:t>y</w:t>
      </w:r>
      <w:r w:rsidRPr="00BA435B">
        <w:rPr>
          <w:rFonts w:asciiTheme="majorHAnsi" w:hAnsiTheme="majorHAnsi" w:cs="Calibri"/>
          <w:spacing w:val="-10"/>
          <w:lang w:val="es-CO"/>
        </w:rPr>
        <w:t xml:space="preserve"> </w:t>
      </w:r>
      <w:r w:rsidRPr="00BA435B">
        <w:rPr>
          <w:rFonts w:asciiTheme="majorHAnsi" w:hAnsiTheme="majorHAnsi" w:cs="Calibri"/>
          <w:lang w:val="es-CO"/>
        </w:rPr>
        <w:t>otros.</w:t>
      </w:r>
      <w:r w:rsidRPr="00BA435B">
        <w:rPr>
          <w:rFonts w:asciiTheme="majorHAnsi" w:hAnsiTheme="majorHAnsi" w:cs="Calibri"/>
          <w:spacing w:val="-11"/>
          <w:lang w:val="es-CO"/>
        </w:rPr>
        <w:t xml:space="preserve"> </w:t>
      </w:r>
      <w:r w:rsidRPr="00BA435B">
        <w:rPr>
          <w:rFonts w:asciiTheme="majorHAnsi" w:hAnsiTheme="majorHAnsi" w:cs="Calibri"/>
          <w:lang w:val="es-CO"/>
        </w:rPr>
        <w:t>Esto</w:t>
      </w:r>
      <w:r w:rsidRPr="00BA435B">
        <w:rPr>
          <w:rFonts w:asciiTheme="majorHAnsi" w:hAnsiTheme="majorHAnsi" w:cs="Calibri"/>
          <w:spacing w:val="-11"/>
          <w:lang w:val="es-CO"/>
        </w:rPr>
        <w:t xml:space="preserve"> </w:t>
      </w:r>
      <w:r w:rsidRPr="00BA435B">
        <w:rPr>
          <w:rFonts w:asciiTheme="majorHAnsi" w:hAnsiTheme="majorHAnsi" w:cs="Calibri"/>
          <w:lang w:val="es-CO"/>
        </w:rPr>
        <w:t xml:space="preserve">ha hecho que sea insuficiente la inversión de la </w:t>
      </w:r>
      <w:r w:rsidR="00600293" w:rsidRPr="00BA435B">
        <w:rPr>
          <w:rFonts w:asciiTheme="majorHAnsi" w:hAnsiTheme="majorHAnsi" w:cs="Calibri"/>
          <w:lang w:val="es-CO"/>
        </w:rPr>
        <w:t>N</w:t>
      </w:r>
      <w:r w:rsidR="006303EC" w:rsidRPr="00BA435B">
        <w:rPr>
          <w:rFonts w:asciiTheme="majorHAnsi" w:hAnsiTheme="majorHAnsi" w:cs="Calibri"/>
          <w:lang w:val="es-CO"/>
        </w:rPr>
        <w:t xml:space="preserve">ación para la prestación del servicio de asistencia técnica. </w:t>
      </w:r>
      <w:r w:rsidRPr="00BA435B">
        <w:rPr>
          <w:rFonts w:asciiTheme="majorHAnsi" w:hAnsiTheme="majorHAnsi" w:cs="Calibri"/>
          <w:lang w:val="es-CO"/>
        </w:rPr>
        <w:t xml:space="preserve"> </w:t>
      </w:r>
    </w:p>
    <w:p w14:paraId="2F18732D" w14:textId="77777777" w:rsidR="006D2769" w:rsidRPr="00BA435B" w:rsidRDefault="006D2769" w:rsidP="006D2769">
      <w:pPr>
        <w:pStyle w:val="Textoindependiente"/>
        <w:ind w:right="49"/>
        <w:jc w:val="both"/>
        <w:rPr>
          <w:rFonts w:asciiTheme="majorHAnsi" w:hAnsiTheme="majorHAnsi" w:cs="Calibri"/>
          <w:lang w:val="es-CO"/>
        </w:rPr>
      </w:pPr>
    </w:p>
    <w:p w14:paraId="580763D5" w14:textId="77777777" w:rsidR="006D2769" w:rsidRPr="00BA435B" w:rsidRDefault="006D2769" w:rsidP="001973C5">
      <w:pPr>
        <w:pStyle w:val="Textoindependiente"/>
        <w:ind w:right="49"/>
        <w:jc w:val="both"/>
        <w:rPr>
          <w:rFonts w:asciiTheme="majorHAnsi" w:hAnsiTheme="majorHAnsi" w:cs="Calibri"/>
          <w:lang w:val="es-CO"/>
        </w:rPr>
      </w:pPr>
      <w:r w:rsidRPr="00BA435B">
        <w:rPr>
          <w:rFonts w:asciiTheme="majorHAnsi" w:hAnsiTheme="majorHAnsi" w:cs="Calibri"/>
          <w:lang w:val="es-CO"/>
        </w:rPr>
        <w:t>En ese sentido, los recursos del orden nacional responden a la planificación institucional de la administración vigente, sin articularse y sumarse de manera eficiente a los recursos del nivel territorial.</w:t>
      </w:r>
    </w:p>
    <w:p w14:paraId="2E8DBE18" w14:textId="77777777" w:rsidR="006D2769" w:rsidRPr="00BA435B" w:rsidRDefault="006D2769" w:rsidP="006D2769">
      <w:pPr>
        <w:pStyle w:val="Textoindependiente"/>
        <w:spacing w:before="1"/>
        <w:ind w:right="49"/>
        <w:jc w:val="both"/>
        <w:rPr>
          <w:rFonts w:asciiTheme="majorHAnsi" w:hAnsiTheme="majorHAnsi" w:cs="Calibri"/>
          <w:lang w:val="es-CO"/>
        </w:rPr>
      </w:pPr>
    </w:p>
    <w:p w14:paraId="0EC25EC9" w14:textId="77777777" w:rsidR="006D2769" w:rsidRPr="00BA435B" w:rsidRDefault="006D2769" w:rsidP="001973C5">
      <w:pPr>
        <w:pStyle w:val="Textoindependiente"/>
        <w:ind w:right="49"/>
        <w:jc w:val="both"/>
        <w:rPr>
          <w:rFonts w:asciiTheme="majorHAnsi" w:hAnsiTheme="majorHAnsi" w:cs="Calibri"/>
          <w:lang w:val="es-CO"/>
        </w:rPr>
      </w:pPr>
      <w:r w:rsidRPr="00BA435B">
        <w:rPr>
          <w:rFonts w:asciiTheme="majorHAnsi" w:hAnsiTheme="majorHAnsi" w:cs="Calibri"/>
          <w:lang w:val="es-CO"/>
        </w:rPr>
        <w:t xml:space="preserve">Otras fuentes como las contribuciones parafiscales </w:t>
      </w:r>
      <w:r w:rsidR="00674415" w:rsidRPr="00BA435B">
        <w:rPr>
          <w:rFonts w:asciiTheme="majorHAnsi" w:hAnsiTheme="majorHAnsi" w:cs="Calibri"/>
          <w:lang w:val="es-CO"/>
        </w:rPr>
        <w:t>d</w:t>
      </w:r>
      <w:r w:rsidRPr="00BA435B">
        <w:rPr>
          <w:rFonts w:asciiTheme="majorHAnsi" w:hAnsiTheme="majorHAnsi" w:cs="Calibri"/>
          <w:lang w:val="es-CO"/>
        </w:rPr>
        <w:t>el sector agropecuario</w:t>
      </w:r>
      <w:r w:rsidRPr="00BA435B">
        <w:rPr>
          <w:rStyle w:val="Refdenotaalpie"/>
          <w:rFonts w:asciiTheme="majorHAnsi" w:hAnsiTheme="majorHAnsi" w:cs="Calibri"/>
          <w:lang w:val="es-CO"/>
        </w:rPr>
        <w:footnoteReference w:id="5"/>
      </w:r>
      <w:r w:rsidRPr="00BA435B">
        <w:rPr>
          <w:rFonts w:asciiTheme="majorHAnsi" w:hAnsiTheme="majorHAnsi" w:cs="Calibri"/>
          <w:position w:val="6"/>
          <w:lang w:val="es-CO"/>
        </w:rPr>
        <w:t xml:space="preserve"> </w:t>
      </w:r>
      <w:r w:rsidRPr="00BA435B">
        <w:rPr>
          <w:rFonts w:asciiTheme="majorHAnsi" w:hAnsiTheme="majorHAnsi" w:cs="Calibri"/>
          <w:lang w:val="es-CO"/>
        </w:rPr>
        <w:t>o los derivados de la ley 344 de 1996</w:t>
      </w:r>
      <w:r w:rsidRPr="00BA435B">
        <w:rPr>
          <w:rStyle w:val="Refdenotaalpie"/>
          <w:rFonts w:asciiTheme="majorHAnsi" w:hAnsiTheme="majorHAnsi" w:cs="Calibri"/>
          <w:lang w:val="es-CO"/>
        </w:rPr>
        <w:footnoteReference w:id="6"/>
      </w:r>
      <w:r w:rsidRPr="00BA435B">
        <w:rPr>
          <w:rFonts w:asciiTheme="majorHAnsi" w:hAnsiTheme="majorHAnsi" w:cs="Calibri"/>
          <w:position w:val="6"/>
          <w:lang w:val="es-CO"/>
        </w:rPr>
        <w:t xml:space="preserve"> </w:t>
      </w:r>
      <w:r w:rsidRPr="00BA435B">
        <w:rPr>
          <w:rFonts w:asciiTheme="majorHAnsi" w:hAnsiTheme="majorHAnsi" w:cs="Calibri"/>
          <w:lang w:val="es-CO"/>
        </w:rPr>
        <w:t>que deberían destinarse a asistencia técnica, en la</w:t>
      </w:r>
      <w:r w:rsidRPr="00BA435B">
        <w:rPr>
          <w:rFonts w:asciiTheme="majorHAnsi" w:hAnsiTheme="majorHAnsi" w:cs="Calibri"/>
          <w:spacing w:val="-12"/>
          <w:lang w:val="es-CO"/>
        </w:rPr>
        <w:t xml:space="preserve"> </w:t>
      </w:r>
      <w:r w:rsidRPr="00BA435B">
        <w:rPr>
          <w:rFonts w:asciiTheme="majorHAnsi" w:hAnsiTheme="majorHAnsi" w:cs="Calibri"/>
          <w:lang w:val="es-CO"/>
        </w:rPr>
        <w:t>mayoría</w:t>
      </w:r>
      <w:r w:rsidRPr="00BA435B">
        <w:rPr>
          <w:rFonts w:asciiTheme="majorHAnsi" w:hAnsiTheme="majorHAnsi" w:cs="Calibri"/>
          <w:spacing w:val="-12"/>
          <w:lang w:val="es-CO"/>
        </w:rPr>
        <w:t xml:space="preserve"> </w:t>
      </w:r>
      <w:r w:rsidRPr="00BA435B">
        <w:rPr>
          <w:rFonts w:asciiTheme="majorHAnsi" w:hAnsiTheme="majorHAnsi" w:cs="Calibri"/>
          <w:lang w:val="es-CO"/>
        </w:rPr>
        <w:t>de</w:t>
      </w:r>
      <w:r w:rsidRPr="00BA435B">
        <w:rPr>
          <w:rFonts w:asciiTheme="majorHAnsi" w:hAnsiTheme="majorHAnsi" w:cs="Calibri"/>
          <w:spacing w:val="-14"/>
          <w:lang w:val="es-CO"/>
        </w:rPr>
        <w:t xml:space="preserve"> </w:t>
      </w:r>
      <w:r w:rsidRPr="00BA435B">
        <w:rPr>
          <w:rFonts w:asciiTheme="majorHAnsi" w:hAnsiTheme="majorHAnsi" w:cs="Calibri"/>
          <w:lang w:val="es-CO"/>
        </w:rPr>
        <w:t>los</w:t>
      </w:r>
      <w:r w:rsidRPr="00BA435B">
        <w:rPr>
          <w:rFonts w:asciiTheme="majorHAnsi" w:hAnsiTheme="majorHAnsi" w:cs="Calibri"/>
          <w:spacing w:val="-12"/>
          <w:lang w:val="es-CO"/>
        </w:rPr>
        <w:t xml:space="preserve"> </w:t>
      </w:r>
      <w:r w:rsidRPr="00BA435B">
        <w:rPr>
          <w:rFonts w:asciiTheme="majorHAnsi" w:hAnsiTheme="majorHAnsi" w:cs="Calibri"/>
          <w:lang w:val="es-CO"/>
        </w:rPr>
        <w:t>casos</w:t>
      </w:r>
      <w:r w:rsidRPr="00BA435B">
        <w:rPr>
          <w:rFonts w:asciiTheme="majorHAnsi" w:hAnsiTheme="majorHAnsi" w:cs="Calibri"/>
          <w:spacing w:val="-14"/>
          <w:lang w:val="es-CO"/>
        </w:rPr>
        <w:t xml:space="preserve"> </w:t>
      </w:r>
      <w:r w:rsidRPr="00BA435B">
        <w:rPr>
          <w:rFonts w:asciiTheme="majorHAnsi" w:hAnsiTheme="majorHAnsi" w:cs="Calibri"/>
          <w:lang w:val="es-CO"/>
        </w:rPr>
        <w:t>no</w:t>
      </w:r>
      <w:r w:rsidRPr="00BA435B">
        <w:rPr>
          <w:rFonts w:asciiTheme="majorHAnsi" w:hAnsiTheme="majorHAnsi" w:cs="Calibri"/>
          <w:spacing w:val="-13"/>
          <w:lang w:val="es-CO"/>
        </w:rPr>
        <w:t xml:space="preserve"> </w:t>
      </w:r>
      <w:r w:rsidRPr="00BA435B">
        <w:rPr>
          <w:rFonts w:asciiTheme="majorHAnsi" w:hAnsiTheme="majorHAnsi" w:cs="Calibri"/>
          <w:lang w:val="es-CO"/>
        </w:rPr>
        <w:t>se</w:t>
      </w:r>
      <w:r w:rsidRPr="00BA435B">
        <w:rPr>
          <w:rFonts w:asciiTheme="majorHAnsi" w:hAnsiTheme="majorHAnsi" w:cs="Calibri"/>
          <w:spacing w:val="-12"/>
          <w:lang w:val="es-CO"/>
        </w:rPr>
        <w:t xml:space="preserve"> </w:t>
      </w:r>
      <w:r w:rsidRPr="00BA435B">
        <w:rPr>
          <w:rFonts w:asciiTheme="majorHAnsi" w:hAnsiTheme="majorHAnsi" w:cs="Calibri"/>
          <w:lang w:val="es-CO"/>
        </w:rPr>
        <w:t>orientan</w:t>
      </w:r>
      <w:r w:rsidRPr="00BA435B">
        <w:rPr>
          <w:rFonts w:asciiTheme="majorHAnsi" w:hAnsiTheme="majorHAnsi" w:cs="Calibri"/>
          <w:spacing w:val="-15"/>
          <w:lang w:val="es-CO"/>
        </w:rPr>
        <w:t xml:space="preserve"> </w:t>
      </w:r>
      <w:r w:rsidRPr="00BA435B">
        <w:rPr>
          <w:rFonts w:asciiTheme="majorHAnsi" w:hAnsiTheme="majorHAnsi" w:cs="Calibri"/>
          <w:lang w:val="es-CO"/>
        </w:rPr>
        <w:t>a</w:t>
      </w:r>
      <w:r w:rsidRPr="00BA435B">
        <w:rPr>
          <w:rFonts w:asciiTheme="majorHAnsi" w:hAnsiTheme="majorHAnsi" w:cs="Calibri"/>
          <w:spacing w:val="-12"/>
          <w:lang w:val="es-CO"/>
        </w:rPr>
        <w:t xml:space="preserve"> </w:t>
      </w:r>
      <w:r w:rsidRPr="00BA435B">
        <w:rPr>
          <w:rFonts w:asciiTheme="majorHAnsi" w:hAnsiTheme="majorHAnsi" w:cs="Calibri"/>
          <w:lang w:val="es-CO"/>
        </w:rPr>
        <w:t>éste</w:t>
      </w:r>
      <w:r w:rsidRPr="00BA435B">
        <w:rPr>
          <w:rFonts w:asciiTheme="majorHAnsi" w:hAnsiTheme="majorHAnsi" w:cs="Calibri"/>
          <w:spacing w:val="-12"/>
          <w:lang w:val="es-CO"/>
        </w:rPr>
        <w:t xml:space="preserve"> </w:t>
      </w:r>
      <w:r w:rsidRPr="00BA435B">
        <w:rPr>
          <w:rFonts w:asciiTheme="majorHAnsi" w:hAnsiTheme="majorHAnsi" w:cs="Calibri"/>
          <w:lang w:val="es-CO"/>
        </w:rPr>
        <w:t>propósito</w:t>
      </w:r>
      <w:r w:rsidRPr="00BA435B">
        <w:rPr>
          <w:rFonts w:asciiTheme="majorHAnsi" w:hAnsiTheme="majorHAnsi" w:cs="Calibri"/>
          <w:spacing w:val="-13"/>
          <w:lang w:val="es-CO"/>
        </w:rPr>
        <w:t xml:space="preserve"> </w:t>
      </w:r>
      <w:r w:rsidRPr="00BA435B">
        <w:rPr>
          <w:rFonts w:asciiTheme="majorHAnsi" w:hAnsiTheme="majorHAnsi" w:cs="Calibri"/>
          <w:lang w:val="es-CO"/>
        </w:rPr>
        <w:t>y</w:t>
      </w:r>
      <w:r w:rsidRPr="00BA435B">
        <w:rPr>
          <w:rFonts w:asciiTheme="majorHAnsi" w:hAnsiTheme="majorHAnsi" w:cs="Calibri"/>
          <w:spacing w:val="-13"/>
          <w:lang w:val="es-CO"/>
        </w:rPr>
        <w:t xml:space="preserve"> </w:t>
      </w:r>
      <w:r w:rsidRPr="00BA435B">
        <w:rPr>
          <w:rFonts w:asciiTheme="majorHAnsi" w:hAnsiTheme="majorHAnsi" w:cs="Calibri"/>
          <w:lang w:val="es-CO"/>
        </w:rPr>
        <w:t>la</w:t>
      </w:r>
      <w:r w:rsidRPr="00BA435B">
        <w:rPr>
          <w:rFonts w:asciiTheme="majorHAnsi" w:hAnsiTheme="majorHAnsi" w:cs="Calibri"/>
          <w:spacing w:val="-10"/>
          <w:lang w:val="es-CO"/>
        </w:rPr>
        <w:t xml:space="preserve"> </w:t>
      </w:r>
      <w:r w:rsidRPr="00BA435B">
        <w:rPr>
          <w:rFonts w:asciiTheme="majorHAnsi" w:hAnsiTheme="majorHAnsi" w:cs="Calibri"/>
          <w:lang w:val="es-CO"/>
        </w:rPr>
        <w:t>investigación</w:t>
      </w:r>
      <w:r w:rsidRPr="00BA435B">
        <w:rPr>
          <w:rFonts w:asciiTheme="majorHAnsi" w:hAnsiTheme="majorHAnsi" w:cs="Calibri"/>
          <w:spacing w:val="-13"/>
          <w:lang w:val="es-CO"/>
        </w:rPr>
        <w:t xml:space="preserve"> </w:t>
      </w:r>
      <w:r w:rsidRPr="00BA435B">
        <w:rPr>
          <w:rFonts w:asciiTheme="majorHAnsi" w:hAnsiTheme="majorHAnsi" w:cs="Calibri"/>
          <w:lang w:val="es-CO"/>
        </w:rPr>
        <w:t>financiada con ellos, no se transfiere a través de los</w:t>
      </w:r>
      <w:r w:rsidRPr="00BA435B">
        <w:rPr>
          <w:rFonts w:asciiTheme="majorHAnsi" w:hAnsiTheme="majorHAnsi" w:cs="Calibri"/>
          <w:spacing w:val="-18"/>
          <w:lang w:val="es-CO"/>
        </w:rPr>
        <w:t xml:space="preserve"> </w:t>
      </w:r>
      <w:r w:rsidRPr="00BA435B">
        <w:rPr>
          <w:rFonts w:asciiTheme="majorHAnsi" w:hAnsiTheme="majorHAnsi" w:cs="Calibri"/>
          <w:lang w:val="es-CO"/>
        </w:rPr>
        <w:t>PGAT.</w:t>
      </w:r>
    </w:p>
    <w:p w14:paraId="51BB041C" w14:textId="77777777" w:rsidR="006D2769" w:rsidRPr="00BA435B" w:rsidRDefault="006D2769" w:rsidP="006D2769">
      <w:pPr>
        <w:pStyle w:val="Textoindependiente"/>
        <w:ind w:right="49"/>
        <w:jc w:val="both"/>
        <w:rPr>
          <w:rFonts w:asciiTheme="majorHAnsi" w:hAnsiTheme="majorHAnsi" w:cs="Calibri"/>
          <w:lang w:val="es-CO"/>
        </w:rPr>
      </w:pPr>
    </w:p>
    <w:p w14:paraId="4C00AFAF" w14:textId="77777777" w:rsidR="006D2769" w:rsidRDefault="006D2769" w:rsidP="006D2769">
      <w:pPr>
        <w:spacing w:after="0" w:line="240" w:lineRule="auto"/>
        <w:rPr>
          <w:rFonts w:asciiTheme="majorHAnsi" w:hAnsiTheme="majorHAnsi"/>
        </w:rPr>
      </w:pPr>
    </w:p>
    <w:p w14:paraId="17594549" w14:textId="77777777" w:rsidR="00135742" w:rsidRPr="00BA435B" w:rsidRDefault="00135742" w:rsidP="006D2769">
      <w:pPr>
        <w:spacing w:after="0" w:line="240" w:lineRule="auto"/>
        <w:rPr>
          <w:rFonts w:asciiTheme="majorHAnsi" w:hAnsiTheme="majorHAnsi"/>
        </w:rPr>
      </w:pPr>
    </w:p>
    <w:p w14:paraId="5160B480" w14:textId="0CEC5AA1" w:rsidR="00C54FA7" w:rsidRPr="00BA435B" w:rsidRDefault="00A23C60" w:rsidP="00EA162D">
      <w:pPr>
        <w:pStyle w:val="Ttulo2"/>
        <w:numPr>
          <w:ilvl w:val="1"/>
          <w:numId w:val="5"/>
        </w:numPr>
      </w:pPr>
      <w:bookmarkStart w:id="8" w:name="_Toc4680863"/>
      <w:r w:rsidRPr="00BA435B">
        <w:t>Población objetivo</w:t>
      </w:r>
      <w:bookmarkEnd w:id="8"/>
    </w:p>
    <w:p w14:paraId="05F969DF" w14:textId="77777777" w:rsidR="006D2769" w:rsidRPr="00BA435B" w:rsidRDefault="006D2769" w:rsidP="006D2769">
      <w:pPr>
        <w:pStyle w:val="Sinespaciado"/>
        <w:rPr>
          <w:rFonts w:asciiTheme="majorHAnsi" w:hAnsiTheme="majorHAnsi"/>
          <w:b/>
        </w:rPr>
      </w:pPr>
    </w:p>
    <w:p w14:paraId="093FD501" w14:textId="77777777" w:rsidR="00F6496F" w:rsidRPr="00A73608" w:rsidRDefault="00F6496F" w:rsidP="00F6496F">
      <w:pPr>
        <w:pStyle w:val="Sinespaciado"/>
        <w:jc w:val="both"/>
        <w:rPr>
          <w:rFonts w:asciiTheme="majorHAnsi" w:hAnsiTheme="majorHAnsi"/>
          <w:lang w:val="es-ES"/>
        </w:rPr>
      </w:pPr>
      <w:r w:rsidRPr="00A73608">
        <w:rPr>
          <w:rFonts w:asciiTheme="majorHAnsi" w:hAnsiTheme="majorHAnsi"/>
          <w:lang w:val="es-ES"/>
        </w:rPr>
        <w:t xml:space="preserve">Se estima que el porcentaje de ACFC a nivel nacional es de 61,2% para personas y de 57,5% para Unidades Productivas Agropecuarias –UPA- (Según estudio preliminar realizado por el Ministerio de Agricultura y Desarrollo Rural). Según el Censo Nacional Agropecuario (2014), se reportaron 2.370.099 UPA, y teniendo en cuenta que los miembros promedio de un hogar en las zonas rurales, es de 3,6 personas según la Encuesta de Calidad de Vida, el número de </w:t>
      </w:r>
      <w:r w:rsidRPr="00A73608">
        <w:rPr>
          <w:rFonts w:asciiTheme="majorHAnsi" w:hAnsiTheme="majorHAnsi"/>
          <w:b/>
          <w:lang w:val="es-ES"/>
        </w:rPr>
        <w:t xml:space="preserve">UF de la ACFC ubicadas en los municipios PDET es de </w:t>
      </w:r>
      <w:r w:rsidRPr="00A73608">
        <w:rPr>
          <w:rFonts w:asciiTheme="majorHAnsi" w:hAnsiTheme="majorHAnsi"/>
          <w:b/>
          <w:u w:val="single"/>
          <w:lang w:val="es-ES"/>
        </w:rPr>
        <w:t>181.295</w:t>
      </w:r>
      <w:r w:rsidRPr="00A73608">
        <w:rPr>
          <w:rFonts w:asciiTheme="majorHAnsi" w:hAnsiTheme="majorHAnsi"/>
          <w:lang w:val="es-ES"/>
        </w:rPr>
        <w:t xml:space="preserve">, como se detalla en </w:t>
      </w:r>
      <w:r>
        <w:rPr>
          <w:rFonts w:asciiTheme="majorHAnsi" w:hAnsiTheme="majorHAnsi"/>
          <w:lang w:val="es-ES"/>
        </w:rPr>
        <w:t>la</w:t>
      </w:r>
      <w:r w:rsidRPr="00A73608">
        <w:rPr>
          <w:rFonts w:asciiTheme="majorHAnsi" w:hAnsiTheme="majorHAnsi"/>
          <w:lang w:val="es-ES"/>
        </w:rPr>
        <w:t xml:space="preserve"> siguiente</w:t>
      </w:r>
      <w:r>
        <w:rPr>
          <w:rFonts w:asciiTheme="majorHAnsi" w:hAnsiTheme="majorHAnsi"/>
          <w:lang w:val="es-ES"/>
        </w:rPr>
        <w:t xml:space="preserve"> tabla</w:t>
      </w:r>
      <w:r w:rsidRPr="00A73608">
        <w:rPr>
          <w:rFonts w:asciiTheme="majorHAnsi" w:hAnsiTheme="majorHAnsi"/>
          <w:lang w:val="es-ES"/>
        </w:rPr>
        <w:t>:</w:t>
      </w:r>
    </w:p>
    <w:p w14:paraId="70DB4540" w14:textId="77777777" w:rsidR="00F6496F" w:rsidRPr="00A73608" w:rsidRDefault="00F6496F" w:rsidP="00F6496F">
      <w:pPr>
        <w:pStyle w:val="Sinespaciado"/>
        <w:jc w:val="both"/>
        <w:rPr>
          <w:rFonts w:asciiTheme="majorHAnsi" w:hAnsiTheme="majorHAnsi"/>
          <w:lang w:val="es-ES"/>
        </w:rPr>
      </w:pPr>
    </w:p>
    <w:p w14:paraId="26FCA9CE" w14:textId="0EB113E3" w:rsidR="00F6496F" w:rsidRPr="00B525C8" w:rsidRDefault="00F6496F" w:rsidP="00F6496F">
      <w:pPr>
        <w:pStyle w:val="Sinespaciado"/>
        <w:jc w:val="center"/>
        <w:rPr>
          <w:rFonts w:asciiTheme="majorHAnsi" w:hAnsiTheme="majorHAnsi"/>
          <w:b/>
          <w:lang w:val="es-ES"/>
        </w:rPr>
      </w:pPr>
      <w:r>
        <w:rPr>
          <w:rFonts w:asciiTheme="majorHAnsi" w:hAnsiTheme="majorHAnsi"/>
          <w:b/>
          <w:lang w:val="es-ES"/>
        </w:rPr>
        <w:t xml:space="preserve">Tabla 4. </w:t>
      </w:r>
      <w:r w:rsidRPr="00B525C8">
        <w:rPr>
          <w:rFonts w:asciiTheme="majorHAnsi" w:hAnsiTheme="majorHAnsi"/>
          <w:lang w:val="es-ES"/>
        </w:rPr>
        <w:t>Cifras para el cálculo de UF en los municipios PDET</w:t>
      </w:r>
    </w:p>
    <w:tbl>
      <w:tblPr>
        <w:tblStyle w:val="Cuadrculaclara-nfasis1"/>
        <w:tblW w:w="0" w:type="auto"/>
        <w:jc w:val="center"/>
        <w:tblLook w:val="04A0" w:firstRow="1" w:lastRow="0" w:firstColumn="1" w:lastColumn="0" w:noHBand="0" w:noVBand="1"/>
      </w:tblPr>
      <w:tblGrid>
        <w:gridCol w:w="2271"/>
        <w:gridCol w:w="2244"/>
        <w:gridCol w:w="2061"/>
        <w:gridCol w:w="2242"/>
      </w:tblGrid>
      <w:tr w:rsidR="00F6496F" w:rsidRPr="00A73608" w14:paraId="11A2A43C" w14:textId="77777777" w:rsidTr="00C71AC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71" w:type="dxa"/>
          </w:tcPr>
          <w:p w14:paraId="460AF98F" w14:textId="77777777" w:rsidR="00F6496F" w:rsidRPr="00A73608" w:rsidRDefault="00F6496F" w:rsidP="00C71ACB">
            <w:pPr>
              <w:pStyle w:val="Sinespaciado"/>
              <w:jc w:val="both"/>
              <w:rPr>
                <w:lang w:val="es-ES"/>
              </w:rPr>
            </w:pPr>
            <w:r w:rsidRPr="00A73608">
              <w:rPr>
                <w:lang w:val="es-ES"/>
              </w:rPr>
              <w:t>Descripción</w:t>
            </w:r>
          </w:p>
        </w:tc>
        <w:tc>
          <w:tcPr>
            <w:tcW w:w="2244" w:type="dxa"/>
          </w:tcPr>
          <w:p w14:paraId="2E14C5DB" w14:textId="77777777" w:rsidR="00F6496F" w:rsidRPr="00A73608" w:rsidRDefault="00F6496F" w:rsidP="00C71ACB">
            <w:pPr>
              <w:pStyle w:val="Sinespaciado"/>
              <w:jc w:val="both"/>
              <w:cnfStyle w:val="100000000000" w:firstRow="1" w:lastRow="0" w:firstColumn="0" w:lastColumn="0" w:oddVBand="0" w:evenVBand="0" w:oddHBand="0" w:evenHBand="0" w:firstRowFirstColumn="0" w:firstRowLastColumn="0" w:lastRowFirstColumn="0" w:lastRowLastColumn="0"/>
              <w:rPr>
                <w:lang w:val="es-ES"/>
              </w:rPr>
            </w:pPr>
            <w:r w:rsidRPr="00A73608">
              <w:rPr>
                <w:lang w:val="es-ES"/>
              </w:rPr>
              <w:t>Unidades Familiares</w:t>
            </w:r>
          </w:p>
        </w:tc>
        <w:tc>
          <w:tcPr>
            <w:tcW w:w="2061" w:type="dxa"/>
          </w:tcPr>
          <w:p w14:paraId="6DF73367" w14:textId="77777777" w:rsidR="00F6496F" w:rsidRPr="00A73608" w:rsidRDefault="00F6496F" w:rsidP="00C71ACB">
            <w:pPr>
              <w:pStyle w:val="Sinespaciado"/>
              <w:jc w:val="center"/>
              <w:cnfStyle w:val="100000000000" w:firstRow="1" w:lastRow="0" w:firstColumn="0" w:lastColumn="0" w:oddVBand="0" w:evenVBand="0" w:oddHBand="0" w:evenHBand="0" w:firstRowFirstColumn="0" w:firstRowLastColumn="0" w:lastRowFirstColumn="0" w:lastRowLastColumn="0"/>
              <w:rPr>
                <w:lang w:val="es-ES"/>
              </w:rPr>
            </w:pPr>
            <w:r w:rsidRPr="00A73608">
              <w:rPr>
                <w:lang w:val="es-ES"/>
              </w:rPr>
              <w:t>Productores</w:t>
            </w:r>
          </w:p>
        </w:tc>
        <w:tc>
          <w:tcPr>
            <w:tcW w:w="2242" w:type="dxa"/>
          </w:tcPr>
          <w:p w14:paraId="3F7BF63F" w14:textId="77777777" w:rsidR="00F6496F" w:rsidRPr="00A73608" w:rsidRDefault="00F6496F" w:rsidP="00C71ACB">
            <w:pPr>
              <w:pStyle w:val="Sinespaciado"/>
              <w:jc w:val="center"/>
              <w:cnfStyle w:val="100000000000" w:firstRow="1" w:lastRow="0" w:firstColumn="0" w:lastColumn="0" w:oddVBand="0" w:evenVBand="0" w:oddHBand="0" w:evenHBand="0" w:firstRowFirstColumn="0" w:firstRowLastColumn="0" w:lastRowFirstColumn="0" w:lastRowLastColumn="0"/>
              <w:rPr>
                <w:lang w:val="es-ES"/>
              </w:rPr>
            </w:pPr>
            <w:r w:rsidRPr="00A73608">
              <w:rPr>
                <w:lang w:val="es-ES"/>
              </w:rPr>
              <w:t>UPAs</w:t>
            </w:r>
          </w:p>
        </w:tc>
      </w:tr>
      <w:tr w:rsidR="00F6496F" w:rsidRPr="00A73608" w14:paraId="154F12D1" w14:textId="77777777" w:rsidTr="00C71ACB">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2271" w:type="dxa"/>
          </w:tcPr>
          <w:p w14:paraId="27834101" w14:textId="77777777" w:rsidR="00F6496F" w:rsidRPr="00A73608" w:rsidRDefault="00F6496F" w:rsidP="00C71ACB">
            <w:pPr>
              <w:pStyle w:val="Sinespaciado"/>
              <w:jc w:val="both"/>
              <w:rPr>
                <w:lang w:val="es-ES"/>
              </w:rPr>
            </w:pPr>
            <w:r w:rsidRPr="00A73608">
              <w:rPr>
                <w:lang w:val="es-ES"/>
              </w:rPr>
              <w:t>Municipios PDET</w:t>
            </w:r>
          </w:p>
        </w:tc>
        <w:tc>
          <w:tcPr>
            <w:tcW w:w="2244" w:type="dxa"/>
          </w:tcPr>
          <w:p w14:paraId="71618778" w14:textId="77777777" w:rsidR="00F6496F" w:rsidRPr="00A73608" w:rsidRDefault="00F6496F" w:rsidP="00C71ACB">
            <w:pPr>
              <w:pStyle w:val="Sinespaciado"/>
              <w:jc w:val="both"/>
              <w:cnfStyle w:val="000000100000" w:firstRow="0" w:lastRow="0" w:firstColumn="0" w:lastColumn="0" w:oddVBand="0" w:evenVBand="0" w:oddHBand="1" w:evenHBand="0" w:firstRowFirstColumn="0" w:firstRowLastColumn="0" w:lastRowFirstColumn="0" w:lastRowLastColumn="0"/>
              <w:rPr>
                <w:rFonts w:asciiTheme="majorHAnsi" w:hAnsiTheme="majorHAnsi"/>
                <w:lang w:val="es-ES"/>
              </w:rPr>
            </w:pPr>
            <w:r w:rsidRPr="00A73608">
              <w:rPr>
                <w:rFonts w:asciiTheme="majorHAnsi" w:hAnsiTheme="majorHAnsi"/>
                <w:lang w:val="es-ES"/>
              </w:rPr>
              <w:t>181.295</w:t>
            </w:r>
          </w:p>
        </w:tc>
        <w:tc>
          <w:tcPr>
            <w:tcW w:w="2061" w:type="dxa"/>
          </w:tcPr>
          <w:p w14:paraId="45970B11" w14:textId="77777777" w:rsidR="00F6496F" w:rsidRPr="00A73608" w:rsidRDefault="00F6496F" w:rsidP="00C71ACB">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s-ES"/>
              </w:rPr>
            </w:pPr>
            <w:r w:rsidRPr="00A73608">
              <w:rPr>
                <w:rFonts w:asciiTheme="majorHAnsi" w:hAnsiTheme="majorHAnsi"/>
                <w:lang w:val="es-ES"/>
              </w:rPr>
              <w:t>652.662</w:t>
            </w:r>
          </w:p>
        </w:tc>
        <w:tc>
          <w:tcPr>
            <w:tcW w:w="2242" w:type="dxa"/>
          </w:tcPr>
          <w:p w14:paraId="4E906A69" w14:textId="77777777" w:rsidR="00F6496F" w:rsidRPr="00A73608" w:rsidRDefault="00F6496F" w:rsidP="00C71ACB">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lang w:val="es-ES"/>
              </w:rPr>
            </w:pPr>
            <w:r w:rsidRPr="00A73608">
              <w:rPr>
                <w:rFonts w:asciiTheme="majorHAnsi" w:hAnsiTheme="majorHAnsi"/>
                <w:lang w:val="es-ES"/>
              </w:rPr>
              <w:t>177.089</w:t>
            </w:r>
          </w:p>
        </w:tc>
      </w:tr>
      <w:tr w:rsidR="00F6496F" w:rsidRPr="00A73608" w14:paraId="72EA30C1" w14:textId="77777777" w:rsidTr="00C71ACB">
        <w:trPr>
          <w:cnfStyle w:val="000000010000" w:firstRow="0" w:lastRow="0" w:firstColumn="0" w:lastColumn="0" w:oddVBand="0" w:evenVBand="0" w:oddHBand="0" w:evenHBand="1"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2271" w:type="dxa"/>
          </w:tcPr>
          <w:p w14:paraId="15919925" w14:textId="77777777" w:rsidR="00F6496F" w:rsidRPr="00A73608" w:rsidRDefault="00F6496F" w:rsidP="00C71ACB">
            <w:pPr>
              <w:pStyle w:val="Sinespaciado"/>
              <w:jc w:val="both"/>
              <w:rPr>
                <w:lang w:val="es-ES"/>
              </w:rPr>
            </w:pPr>
            <w:r w:rsidRPr="00A73608">
              <w:rPr>
                <w:lang w:val="es-ES"/>
              </w:rPr>
              <w:t>Nacional</w:t>
            </w:r>
          </w:p>
        </w:tc>
        <w:tc>
          <w:tcPr>
            <w:tcW w:w="2244" w:type="dxa"/>
          </w:tcPr>
          <w:p w14:paraId="0DACE348" w14:textId="77777777" w:rsidR="00F6496F" w:rsidRPr="00A73608" w:rsidRDefault="00F6496F" w:rsidP="00C71ACB">
            <w:pPr>
              <w:pStyle w:val="Sinespaciado"/>
              <w:jc w:val="both"/>
              <w:cnfStyle w:val="000000010000" w:firstRow="0" w:lastRow="0" w:firstColumn="0" w:lastColumn="0" w:oddVBand="0" w:evenVBand="0" w:oddHBand="0" w:evenHBand="1" w:firstRowFirstColumn="0" w:firstRowLastColumn="0" w:lastRowFirstColumn="0" w:lastRowLastColumn="0"/>
              <w:rPr>
                <w:rFonts w:asciiTheme="majorHAnsi" w:hAnsiTheme="majorHAnsi"/>
                <w:lang w:val="es-ES"/>
              </w:rPr>
            </w:pPr>
            <w:r w:rsidRPr="00A73608">
              <w:rPr>
                <w:rFonts w:asciiTheme="majorHAnsi" w:hAnsiTheme="majorHAnsi"/>
                <w:lang w:val="es-ES"/>
              </w:rPr>
              <w:t>871.545</w:t>
            </w:r>
          </w:p>
        </w:tc>
        <w:tc>
          <w:tcPr>
            <w:tcW w:w="2061" w:type="dxa"/>
          </w:tcPr>
          <w:p w14:paraId="3C97F588" w14:textId="77777777" w:rsidR="00F6496F" w:rsidRPr="00A73608" w:rsidRDefault="00F6496F" w:rsidP="00C71ACB">
            <w:pPr>
              <w:pStyle w:val="Sinespaciad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s-ES"/>
              </w:rPr>
            </w:pPr>
            <w:r w:rsidRPr="00A73608">
              <w:rPr>
                <w:rFonts w:asciiTheme="majorHAnsi" w:hAnsiTheme="majorHAnsi"/>
                <w:lang w:val="es-ES"/>
              </w:rPr>
              <w:t>3.137.562</w:t>
            </w:r>
          </w:p>
        </w:tc>
        <w:tc>
          <w:tcPr>
            <w:tcW w:w="2242" w:type="dxa"/>
          </w:tcPr>
          <w:p w14:paraId="2CB33AF9" w14:textId="77777777" w:rsidR="00F6496F" w:rsidRPr="00A73608" w:rsidRDefault="00F6496F" w:rsidP="00C71ACB">
            <w:pPr>
              <w:pStyle w:val="Sinespaciado"/>
              <w:jc w:val="center"/>
              <w:cnfStyle w:val="000000010000" w:firstRow="0" w:lastRow="0" w:firstColumn="0" w:lastColumn="0" w:oddVBand="0" w:evenVBand="0" w:oddHBand="0" w:evenHBand="1" w:firstRowFirstColumn="0" w:firstRowLastColumn="0" w:lastRowFirstColumn="0" w:lastRowLastColumn="0"/>
              <w:rPr>
                <w:rFonts w:asciiTheme="majorHAnsi" w:hAnsiTheme="majorHAnsi"/>
                <w:lang w:val="es-ES"/>
              </w:rPr>
            </w:pPr>
            <w:r w:rsidRPr="00A73608">
              <w:rPr>
                <w:rFonts w:asciiTheme="majorHAnsi" w:hAnsiTheme="majorHAnsi"/>
                <w:lang w:val="es-ES"/>
              </w:rPr>
              <w:t>1.109.206</w:t>
            </w:r>
          </w:p>
        </w:tc>
      </w:tr>
    </w:tbl>
    <w:p w14:paraId="1D5D5533" w14:textId="77777777" w:rsidR="00F6496F" w:rsidRPr="00A73608" w:rsidRDefault="00F6496F" w:rsidP="00F6496F">
      <w:pPr>
        <w:pStyle w:val="Sinespaciado"/>
        <w:jc w:val="both"/>
        <w:rPr>
          <w:rFonts w:asciiTheme="majorHAnsi" w:hAnsiTheme="majorHAnsi"/>
          <w:lang w:val="es-ES"/>
        </w:rPr>
      </w:pPr>
    </w:p>
    <w:p w14:paraId="209A4D63" w14:textId="77777777" w:rsidR="00F6496F" w:rsidRDefault="00F6496F" w:rsidP="00F6496F">
      <w:pPr>
        <w:pStyle w:val="Sinespaciado"/>
        <w:jc w:val="both"/>
        <w:rPr>
          <w:rFonts w:asciiTheme="majorHAnsi" w:hAnsiTheme="majorHAnsi"/>
          <w:lang w:val="es-ES"/>
        </w:rPr>
      </w:pPr>
    </w:p>
    <w:p w14:paraId="3BE8B53F" w14:textId="77777777" w:rsidR="005E6DA2" w:rsidRDefault="005E6DA2" w:rsidP="00084EA3">
      <w:pPr>
        <w:pStyle w:val="Textoindependiente"/>
        <w:spacing w:before="100"/>
        <w:ind w:right="49"/>
        <w:jc w:val="both"/>
        <w:rPr>
          <w:rFonts w:asciiTheme="majorHAnsi" w:hAnsiTheme="majorHAnsi" w:cs="Calibri"/>
          <w:lang w:val="es-CO"/>
        </w:rPr>
      </w:pPr>
    </w:p>
    <w:p w14:paraId="697E1085" w14:textId="77777777" w:rsidR="005E6DA2" w:rsidRDefault="005E6DA2" w:rsidP="00084EA3">
      <w:pPr>
        <w:pStyle w:val="Textoindependiente"/>
        <w:spacing w:before="100"/>
        <w:ind w:right="49"/>
        <w:jc w:val="both"/>
        <w:rPr>
          <w:rFonts w:asciiTheme="majorHAnsi" w:hAnsiTheme="majorHAnsi" w:cs="Calibri"/>
          <w:lang w:val="es-CO"/>
        </w:rPr>
      </w:pPr>
    </w:p>
    <w:p w14:paraId="244CA7F8" w14:textId="77777777" w:rsidR="005E6DA2" w:rsidRDefault="005E6DA2" w:rsidP="00084EA3">
      <w:pPr>
        <w:pStyle w:val="Textoindependiente"/>
        <w:spacing w:before="100"/>
        <w:ind w:right="49"/>
        <w:jc w:val="both"/>
        <w:rPr>
          <w:rFonts w:asciiTheme="majorHAnsi" w:hAnsiTheme="majorHAnsi" w:cs="Calibri"/>
          <w:lang w:val="es-CO"/>
        </w:rPr>
      </w:pPr>
    </w:p>
    <w:p w14:paraId="2BD48CEB" w14:textId="77777777" w:rsidR="005E6DA2" w:rsidRDefault="005E6DA2" w:rsidP="00084EA3">
      <w:pPr>
        <w:pStyle w:val="Textoindependiente"/>
        <w:spacing w:before="100"/>
        <w:ind w:right="49"/>
        <w:jc w:val="both"/>
        <w:rPr>
          <w:rFonts w:asciiTheme="majorHAnsi" w:hAnsiTheme="majorHAnsi" w:cs="Calibri"/>
          <w:lang w:val="es-CO"/>
        </w:rPr>
      </w:pPr>
    </w:p>
    <w:p w14:paraId="13D9AFE6" w14:textId="77777777" w:rsidR="0083487D" w:rsidRDefault="0083487D" w:rsidP="00084EA3">
      <w:pPr>
        <w:pStyle w:val="Textoindependiente"/>
        <w:spacing w:before="100"/>
        <w:ind w:right="49"/>
        <w:jc w:val="both"/>
        <w:rPr>
          <w:rFonts w:asciiTheme="majorHAnsi" w:hAnsiTheme="majorHAnsi" w:cs="Calibri"/>
          <w:lang w:val="es-CO"/>
        </w:rPr>
      </w:pPr>
    </w:p>
    <w:p w14:paraId="213DB604" w14:textId="77777777" w:rsidR="0083487D" w:rsidRDefault="0083487D" w:rsidP="00084EA3">
      <w:pPr>
        <w:pStyle w:val="Textoindependiente"/>
        <w:spacing w:before="100"/>
        <w:ind w:right="49"/>
        <w:jc w:val="both"/>
        <w:rPr>
          <w:rFonts w:asciiTheme="majorHAnsi" w:hAnsiTheme="majorHAnsi" w:cs="Calibri"/>
          <w:lang w:val="es-CO"/>
        </w:rPr>
      </w:pPr>
    </w:p>
    <w:p w14:paraId="577C786A" w14:textId="77777777" w:rsidR="0083487D" w:rsidRDefault="0083487D" w:rsidP="00084EA3">
      <w:pPr>
        <w:pStyle w:val="Textoindependiente"/>
        <w:spacing w:before="100"/>
        <w:ind w:right="49"/>
        <w:jc w:val="both"/>
        <w:rPr>
          <w:rFonts w:asciiTheme="majorHAnsi" w:hAnsiTheme="majorHAnsi" w:cs="Calibri"/>
          <w:lang w:val="es-CO"/>
        </w:rPr>
      </w:pPr>
    </w:p>
    <w:p w14:paraId="5D2466DA" w14:textId="77777777" w:rsidR="0083487D" w:rsidRDefault="0083487D" w:rsidP="00084EA3">
      <w:pPr>
        <w:pStyle w:val="Textoindependiente"/>
        <w:spacing w:before="100"/>
        <w:ind w:right="49"/>
        <w:jc w:val="both"/>
        <w:rPr>
          <w:rFonts w:asciiTheme="majorHAnsi" w:hAnsiTheme="majorHAnsi" w:cs="Calibri"/>
          <w:lang w:val="es-CO"/>
        </w:rPr>
      </w:pPr>
    </w:p>
    <w:p w14:paraId="588AAC0F" w14:textId="77777777" w:rsidR="0083487D" w:rsidRDefault="0083487D" w:rsidP="00084EA3">
      <w:pPr>
        <w:pStyle w:val="Textoindependiente"/>
        <w:spacing w:before="100"/>
        <w:ind w:right="49"/>
        <w:jc w:val="both"/>
        <w:rPr>
          <w:rFonts w:asciiTheme="majorHAnsi" w:hAnsiTheme="majorHAnsi" w:cs="Calibri"/>
          <w:lang w:val="es-CO"/>
        </w:rPr>
      </w:pPr>
    </w:p>
    <w:p w14:paraId="5AF7A6BF" w14:textId="77777777" w:rsidR="0083487D" w:rsidRDefault="0083487D" w:rsidP="00084EA3">
      <w:pPr>
        <w:pStyle w:val="Textoindependiente"/>
        <w:spacing w:before="100"/>
        <w:ind w:right="49"/>
        <w:jc w:val="both"/>
        <w:rPr>
          <w:rFonts w:asciiTheme="majorHAnsi" w:hAnsiTheme="majorHAnsi" w:cs="Calibri"/>
          <w:lang w:val="es-CO"/>
        </w:rPr>
      </w:pPr>
    </w:p>
    <w:p w14:paraId="69C4CB6B" w14:textId="77777777" w:rsidR="0083487D" w:rsidRDefault="0083487D" w:rsidP="00084EA3">
      <w:pPr>
        <w:pStyle w:val="Textoindependiente"/>
        <w:spacing w:before="100"/>
        <w:ind w:right="49"/>
        <w:jc w:val="both"/>
        <w:rPr>
          <w:rFonts w:asciiTheme="majorHAnsi" w:hAnsiTheme="majorHAnsi" w:cs="Calibri"/>
          <w:lang w:val="es-CO"/>
        </w:rPr>
      </w:pPr>
    </w:p>
    <w:p w14:paraId="3DBCC680" w14:textId="77777777" w:rsidR="0083487D" w:rsidRDefault="0083487D" w:rsidP="00084EA3">
      <w:pPr>
        <w:pStyle w:val="Textoindependiente"/>
        <w:spacing w:before="100"/>
        <w:ind w:right="49"/>
        <w:jc w:val="both"/>
        <w:rPr>
          <w:rFonts w:asciiTheme="majorHAnsi" w:hAnsiTheme="majorHAnsi" w:cs="Calibri"/>
          <w:lang w:val="es-CO"/>
        </w:rPr>
      </w:pPr>
    </w:p>
    <w:p w14:paraId="0E17F54B" w14:textId="77777777" w:rsidR="0083487D" w:rsidRDefault="0083487D" w:rsidP="00084EA3">
      <w:pPr>
        <w:pStyle w:val="Textoindependiente"/>
        <w:spacing w:before="100"/>
        <w:ind w:right="49"/>
        <w:jc w:val="both"/>
        <w:rPr>
          <w:rFonts w:asciiTheme="majorHAnsi" w:hAnsiTheme="majorHAnsi" w:cs="Calibri"/>
          <w:lang w:val="es-CO"/>
        </w:rPr>
      </w:pPr>
    </w:p>
    <w:p w14:paraId="4829FB16" w14:textId="77777777" w:rsidR="0083487D" w:rsidRDefault="0083487D" w:rsidP="00084EA3">
      <w:pPr>
        <w:pStyle w:val="Textoindependiente"/>
        <w:spacing w:before="100"/>
        <w:ind w:right="49"/>
        <w:jc w:val="both"/>
        <w:rPr>
          <w:rFonts w:asciiTheme="majorHAnsi" w:hAnsiTheme="majorHAnsi" w:cs="Calibri"/>
          <w:lang w:val="es-CO"/>
        </w:rPr>
      </w:pPr>
    </w:p>
    <w:p w14:paraId="0D9267B7" w14:textId="77777777" w:rsidR="0083487D" w:rsidRDefault="0083487D" w:rsidP="00084EA3">
      <w:pPr>
        <w:pStyle w:val="Textoindependiente"/>
        <w:spacing w:before="100"/>
        <w:ind w:right="49"/>
        <w:jc w:val="both"/>
        <w:rPr>
          <w:rFonts w:asciiTheme="majorHAnsi" w:hAnsiTheme="majorHAnsi" w:cs="Calibri"/>
          <w:lang w:val="es-CO"/>
        </w:rPr>
      </w:pPr>
    </w:p>
    <w:p w14:paraId="44A1A076" w14:textId="77777777" w:rsidR="0083487D" w:rsidRDefault="0083487D" w:rsidP="00084EA3">
      <w:pPr>
        <w:pStyle w:val="Textoindependiente"/>
        <w:spacing w:before="100"/>
        <w:ind w:right="49"/>
        <w:jc w:val="both"/>
        <w:rPr>
          <w:rFonts w:asciiTheme="majorHAnsi" w:hAnsiTheme="majorHAnsi" w:cs="Calibri"/>
          <w:lang w:val="es-CO"/>
        </w:rPr>
      </w:pPr>
    </w:p>
    <w:p w14:paraId="142ED337" w14:textId="77777777" w:rsidR="005E6DA2" w:rsidRDefault="005E6DA2" w:rsidP="00084EA3">
      <w:pPr>
        <w:pStyle w:val="Textoindependiente"/>
        <w:spacing w:before="100"/>
        <w:ind w:right="49"/>
        <w:jc w:val="both"/>
        <w:rPr>
          <w:rFonts w:asciiTheme="majorHAnsi" w:hAnsiTheme="majorHAnsi" w:cs="Calibri"/>
          <w:lang w:val="es-CO"/>
        </w:rPr>
      </w:pPr>
    </w:p>
    <w:p w14:paraId="63698F2A" w14:textId="77777777" w:rsidR="005E6DA2" w:rsidRDefault="005E6DA2" w:rsidP="00084EA3">
      <w:pPr>
        <w:pStyle w:val="Textoindependiente"/>
        <w:spacing w:before="100"/>
        <w:ind w:right="49"/>
        <w:jc w:val="both"/>
        <w:rPr>
          <w:rFonts w:asciiTheme="majorHAnsi" w:hAnsiTheme="majorHAnsi" w:cs="Calibri"/>
          <w:lang w:val="es-CO"/>
        </w:rPr>
      </w:pPr>
    </w:p>
    <w:p w14:paraId="63A62236" w14:textId="77777777" w:rsidR="005E6DA2" w:rsidRDefault="005E6DA2" w:rsidP="00084EA3">
      <w:pPr>
        <w:pStyle w:val="Textoindependiente"/>
        <w:spacing w:before="100"/>
        <w:ind w:right="49"/>
        <w:jc w:val="both"/>
        <w:rPr>
          <w:rFonts w:asciiTheme="majorHAnsi" w:hAnsiTheme="majorHAnsi" w:cs="Calibri"/>
          <w:lang w:val="es-CO"/>
        </w:rPr>
      </w:pPr>
    </w:p>
    <w:p w14:paraId="75CB6581" w14:textId="47AEC86E" w:rsidR="00C54FA7" w:rsidRPr="00A73608" w:rsidRDefault="00A23C60" w:rsidP="00EA162D">
      <w:pPr>
        <w:pStyle w:val="Ttulo1"/>
        <w:numPr>
          <w:ilvl w:val="0"/>
          <w:numId w:val="14"/>
        </w:numPr>
      </w:pPr>
      <w:bookmarkStart w:id="9" w:name="_Toc4680864"/>
      <w:r w:rsidRPr="00A73608">
        <w:lastRenderedPageBreak/>
        <w:t>Direccionamiento del Plan Nacional</w:t>
      </w:r>
      <w:bookmarkEnd w:id="9"/>
    </w:p>
    <w:p w14:paraId="1701F18A" w14:textId="77777777" w:rsidR="00C54FA7" w:rsidRPr="00A73608" w:rsidRDefault="00C54FA7">
      <w:pPr>
        <w:pStyle w:val="Sinespaciado"/>
        <w:jc w:val="both"/>
        <w:rPr>
          <w:rFonts w:asciiTheme="majorHAnsi" w:hAnsiTheme="majorHAnsi"/>
        </w:rPr>
      </w:pPr>
    </w:p>
    <w:p w14:paraId="409BEF5C" w14:textId="77777777" w:rsidR="00BE3D4E" w:rsidRPr="00A73608" w:rsidRDefault="00BE3D4E" w:rsidP="00EA162D">
      <w:pPr>
        <w:pStyle w:val="Prrafodelista"/>
        <w:keepNext/>
        <w:keepLines/>
        <w:numPr>
          <w:ilvl w:val="0"/>
          <w:numId w:val="3"/>
        </w:numPr>
        <w:spacing w:before="40" w:after="0" w:line="259" w:lineRule="auto"/>
        <w:contextualSpacing w:val="0"/>
        <w:jc w:val="both"/>
        <w:outlineLvl w:val="1"/>
        <w:rPr>
          <w:rFonts w:asciiTheme="majorHAnsi" w:eastAsiaTheme="majorEastAsia" w:hAnsiTheme="majorHAnsi" w:cstheme="majorBidi"/>
          <w:b/>
          <w:vanish/>
          <w:sz w:val="26"/>
          <w:szCs w:val="26"/>
        </w:rPr>
      </w:pPr>
      <w:bookmarkStart w:id="10" w:name="_Toc493106396"/>
      <w:bookmarkStart w:id="11" w:name="_Toc493106462"/>
      <w:bookmarkStart w:id="12" w:name="_Toc493107632"/>
      <w:bookmarkStart w:id="13" w:name="_Toc493107679"/>
      <w:bookmarkStart w:id="14" w:name="_Toc493109013"/>
      <w:bookmarkStart w:id="15" w:name="_Toc505784403"/>
      <w:bookmarkStart w:id="16" w:name="_Toc505784481"/>
      <w:bookmarkStart w:id="17" w:name="_Toc505784586"/>
      <w:bookmarkStart w:id="18" w:name="_Toc505784645"/>
      <w:bookmarkStart w:id="19" w:name="_Toc505784703"/>
      <w:bookmarkStart w:id="20" w:name="_Toc505784761"/>
      <w:bookmarkStart w:id="21" w:name="_Toc506974873"/>
      <w:bookmarkStart w:id="22" w:name="_Toc506974953"/>
      <w:bookmarkStart w:id="23" w:name="_Toc506975036"/>
      <w:bookmarkStart w:id="24" w:name="_Toc506975112"/>
      <w:bookmarkStart w:id="25" w:name="_Toc506975177"/>
      <w:bookmarkStart w:id="26" w:name="_Toc506975260"/>
      <w:bookmarkStart w:id="27" w:name="_Toc508980965"/>
      <w:bookmarkStart w:id="28" w:name="_Toc508981011"/>
      <w:bookmarkStart w:id="29" w:name="_Toc508981059"/>
      <w:bookmarkStart w:id="30" w:name="_Toc508981107"/>
      <w:bookmarkStart w:id="31" w:name="_Toc514345260"/>
      <w:bookmarkStart w:id="32" w:name="_Toc514345322"/>
      <w:bookmarkStart w:id="33" w:name="_Toc514349452"/>
      <w:bookmarkStart w:id="34" w:name="_Toc519812319"/>
      <w:bookmarkStart w:id="35" w:name="_Toc519812361"/>
      <w:bookmarkStart w:id="36" w:name="_Toc519812618"/>
      <w:bookmarkStart w:id="37" w:name="_Toc4665779"/>
      <w:bookmarkStart w:id="38" w:name="_Toc4665812"/>
      <w:bookmarkStart w:id="39" w:name="_Toc4680833"/>
      <w:bookmarkStart w:id="40" w:name="_Toc468086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93A670D" w14:textId="77777777" w:rsidR="00BE3D4E" w:rsidRPr="00A73608" w:rsidRDefault="00BE3D4E" w:rsidP="00EA162D">
      <w:pPr>
        <w:pStyle w:val="Prrafodelista"/>
        <w:keepNext/>
        <w:keepLines/>
        <w:numPr>
          <w:ilvl w:val="0"/>
          <w:numId w:val="3"/>
        </w:numPr>
        <w:spacing w:before="40" w:after="0" w:line="259" w:lineRule="auto"/>
        <w:contextualSpacing w:val="0"/>
        <w:jc w:val="both"/>
        <w:outlineLvl w:val="1"/>
        <w:rPr>
          <w:rFonts w:asciiTheme="majorHAnsi" w:eastAsiaTheme="majorEastAsia" w:hAnsiTheme="majorHAnsi" w:cstheme="majorBidi"/>
          <w:b/>
          <w:vanish/>
          <w:sz w:val="26"/>
          <w:szCs w:val="26"/>
        </w:rPr>
      </w:pPr>
      <w:bookmarkStart w:id="41" w:name="_Toc493106397"/>
      <w:bookmarkStart w:id="42" w:name="_Toc493106463"/>
      <w:bookmarkStart w:id="43" w:name="_Toc493107633"/>
      <w:bookmarkStart w:id="44" w:name="_Toc493107680"/>
      <w:bookmarkStart w:id="45" w:name="_Toc493109014"/>
      <w:bookmarkStart w:id="46" w:name="_Toc505784404"/>
      <w:bookmarkStart w:id="47" w:name="_Toc505784482"/>
      <w:bookmarkStart w:id="48" w:name="_Toc505784587"/>
      <w:bookmarkStart w:id="49" w:name="_Toc505784646"/>
      <w:bookmarkStart w:id="50" w:name="_Toc505784704"/>
      <w:bookmarkStart w:id="51" w:name="_Toc505784762"/>
      <w:bookmarkStart w:id="52" w:name="_Toc506974874"/>
      <w:bookmarkStart w:id="53" w:name="_Toc506974954"/>
      <w:bookmarkStart w:id="54" w:name="_Toc506975037"/>
      <w:bookmarkStart w:id="55" w:name="_Toc506975113"/>
      <w:bookmarkStart w:id="56" w:name="_Toc506975178"/>
      <w:bookmarkStart w:id="57" w:name="_Toc506975261"/>
      <w:bookmarkStart w:id="58" w:name="_Toc508980966"/>
      <w:bookmarkStart w:id="59" w:name="_Toc508981012"/>
      <w:bookmarkStart w:id="60" w:name="_Toc508981060"/>
      <w:bookmarkStart w:id="61" w:name="_Toc508981108"/>
      <w:bookmarkStart w:id="62" w:name="_Toc514345261"/>
      <w:bookmarkStart w:id="63" w:name="_Toc514345323"/>
      <w:bookmarkStart w:id="64" w:name="_Toc514349453"/>
      <w:bookmarkStart w:id="65" w:name="_Toc519812320"/>
      <w:bookmarkStart w:id="66" w:name="_Toc519812362"/>
      <w:bookmarkStart w:id="67" w:name="_Toc519812619"/>
      <w:bookmarkStart w:id="68" w:name="_Toc4665780"/>
      <w:bookmarkStart w:id="69" w:name="_Toc4665813"/>
      <w:bookmarkStart w:id="70" w:name="_Toc4680834"/>
      <w:bookmarkStart w:id="71" w:name="_Toc468086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0903445" w14:textId="304A31DE" w:rsidR="00C54FA7" w:rsidRPr="00A73608" w:rsidRDefault="00A23C60" w:rsidP="00EA162D">
      <w:pPr>
        <w:pStyle w:val="Ttulo2"/>
        <w:numPr>
          <w:ilvl w:val="1"/>
          <w:numId w:val="3"/>
        </w:numPr>
      </w:pPr>
      <w:bookmarkStart w:id="72" w:name="_Toc4680867"/>
      <w:r w:rsidRPr="00A73608">
        <w:t>Visión</w:t>
      </w:r>
      <w:bookmarkEnd w:id="72"/>
    </w:p>
    <w:p w14:paraId="0731E6AE" w14:textId="77777777" w:rsidR="00816348" w:rsidRPr="00193F47" w:rsidRDefault="00816348" w:rsidP="00053C12">
      <w:pPr>
        <w:spacing w:after="0" w:line="240" w:lineRule="auto"/>
        <w:jc w:val="both"/>
        <w:rPr>
          <w:rFonts w:asciiTheme="majorHAnsi" w:hAnsiTheme="majorHAnsi"/>
        </w:rPr>
      </w:pPr>
    </w:p>
    <w:p w14:paraId="10C93009" w14:textId="0402F799" w:rsidR="00F535ED" w:rsidRPr="00F74095" w:rsidRDefault="00F535ED" w:rsidP="00053C12">
      <w:pPr>
        <w:spacing w:after="0" w:line="240" w:lineRule="auto"/>
        <w:jc w:val="both"/>
        <w:rPr>
          <w:rFonts w:asciiTheme="majorHAnsi" w:hAnsiTheme="majorHAnsi"/>
        </w:rPr>
      </w:pPr>
      <w:r w:rsidRPr="00F74095">
        <w:rPr>
          <w:rFonts w:asciiTheme="majorHAnsi" w:hAnsiTheme="majorHAnsi"/>
        </w:rPr>
        <w:t xml:space="preserve">En el año 2027, el Gobierno tendrá implementado un modelo institucional para la prestación del servicio de extensión agropecuaria al que puedan acceder los productores </w:t>
      </w:r>
      <w:r w:rsidR="0010493B" w:rsidRPr="00F74095">
        <w:rPr>
          <w:rFonts w:asciiTheme="majorHAnsi" w:hAnsiTheme="majorHAnsi"/>
        </w:rPr>
        <w:t xml:space="preserve">agropecuarios registrados y priorizados. </w:t>
      </w:r>
    </w:p>
    <w:p w14:paraId="11448FEE" w14:textId="77777777" w:rsidR="00F535ED" w:rsidRPr="00193F47" w:rsidRDefault="00F535ED" w:rsidP="00053C12">
      <w:pPr>
        <w:spacing w:after="0" w:line="240" w:lineRule="auto"/>
        <w:jc w:val="both"/>
        <w:rPr>
          <w:rFonts w:asciiTheme="majorHAnsi" w:hAnsiTheme="majorHAnsi"/>
        </w:rPr>
      </w:pPr>
    </w:p>
    <w:p w14:paraId="4EF9087E" w14:textId="77777777" w:rsidR="00816348" w:rsidRPr="00BA435B" w:rsidRDefault="00816348" w:rsidP="00053C12">
      <w:pPr>
        <w:spacing w:after="0" w:line="240" w:lineRule="auto"/>
        <w:jc w:val="both"/>
        <w:rPr>
          <w:rFonts w:asciiTheme="majorHAnsi" w:hAnsiTheme="majorHAnsi"/>
        </w:rPr>
      </w:pPr>
    </w:p>
    <w:p w14:paraId="349DE2C6" w14:textId="3ACC700D" w:rsidR="00656F00" w:rsidRPr="00BA435B" w:rsidRDefault="001940F8" w:rsidP="00EA162D">
      <w:pPr>
        <w:pStyle w:val="Ttulo2"/>
        <w:numPr>
          <w:ilvl w:val="1"/>
          <w:numId w:val="3"/>
        </w:numPr>
      </w:pPr>
      <w:bookmarkStart w:id="73" w:name="_Toc4680868"/>
      <w:r w:rsidRPr="00BA435B">
        <w:t>Pri</w:t>
      </w:r>
      <w:r w:rsidR="00A23C60" w:rsidRPr="00BA435B">
        <w:t>ncipios</w:t>
      </w:r>
      <w:bookmarkEnd w:id="73"/>
    </w:p>
    <w:p w14:paraId="28119E7F" w14:textId="77777777" w:rsidR="00D264B8" w:rsidRPr="00BA435B" w:rsidRDefault="00D264B8" w:rsidP="00656F00">
      <w:pPr>
        <w:spacing w:after="0" w:line="240" w:lineRule="auto"/>
        <w:jc w:val="both"/>
        <w:rPr>
          <w:rFonts w:asciiTheme="majorHAnsi" w:hAnsiTheme="majorHAnsi"/>
          <w:sz w:val="24"/>
          <w:szCs w:val="24"/>
          <w:lang w:val="es-ES_tradnl"/>
        </w:rPr>
      </w:pPr>
    </w:p>
    <w:p w14:paraId="252165F8" w14:textId="6CCB703D" w:rsidR="009E219D" w:rsidRDefault="009E219D" w:rsidP="00656F00">
      <w:pPr>
        <w:spacing w:after="0" w:line="240" w:lineRule="auto"/>
        <w:jc w:val="both"/>
        <w:rPr>
          <w:rFonts w:asciiTheme="majorHAnsi" w:hAnsiTheme="majorHAnsi"/>
          <w:lang w:val="es-ES_tradnl"/>
        </w:rPr>
      </w:pPr>
      <w:r>
        <w:rPr>
          <w:rFonts w:asciiTheme="majorHAnsi" w:hAnsiTheme="majorHAnsi"/>
          <w:lang w:val="es-ES_tradnl"/>
        </w:rPr>
        <w:t xml:space="preserve">Además de los principios del artículo 3 de la Ley 1876 de 2017, este plan </w:t>
      </w:r>
      <w:r w:rsidR="00193F47">
        <w:rPr>
          <w:rFonts w:asciiTheme="majorHAnsi" w:hAnsiTheme="majorHAnsi"/>
          <w:lang w:val="es-ES_tradnl"/>
        </w:rPr>
        <w:t xml:space="preserve">acoge </w:t>
      </w:r>
      <w:r>
        <w:rPr>
          <w:rFonts w:asciiTheme="majorHAnsi" w:hAnsiTheme="majorHAnsi"/>
          <w:lang w:val="es-ES_tradnl"/>
        </w:rPr>
        <w:t>los siguientes principios:</w:t>
      </w:r>
    </w:p>
    <w:p w14:paraId="11917245" w14:textId="77777777" w:rsidR="009E219D" w:rsidRDefault="009E219D" w:rsidP="00656F00">
      <w:pPr>
        <w:spacing w:after="0" w:line="240" w:lineRule="auto"/>
        <w:jc w:val="both"/>
        <w:rPr>
          <w:rFonts w:asciiTheme="majorHAnsi" w:hAnsiTheme="majorHAnsi"/>
          <w:lang w:val="es-ES_tradnl"/>
        </w:rPr>
      </w:pPr>
    </w:p>
    <w:p w14:paraId="43660836" w14:textId="717708D4" w:rsidR="009E219D" w:rsidRPr="009E219D" w:rsidRDefault="009E219D" w:rsidP="00EA162D">
      <w:pPr>
        <w:pStyle w:val="Prrafodelista"/>
        <w:numPr>
          <w:ilvl w:val="0"/>
          <w:numId w:val="16"/>
        </w:numPr>
        <w:spacing w:after="0" w:line="240" w:lineRule="auto"/>
        <w:jc w:val="both"/>
        <w:rPr>
          <w:rFonts w:asciiTheme="majorHAnsi" w:hAnsiTheme="majorHAnsi"/>
          <w:sz w:val="24"/>
          <w:szCs w:val="24"/>
          <w:lang w:val="es-ES_tradnl"/>
        </w:rPr>
      </w:pPr>
      <w:r>
        <w:rPr>
          <w:rFonts w:asciiTheme="majorHAnsi" w:hAnsiTheme="majorHAnsi"/>
          <w:lang w:val="es-ES_tradnl"/>
        </w:rPr>
        <w:t>Participación en el marco del Plan</w:t>
      </w:r>
    </w:p>
    <w:p w14:paraId="6A7ECEDE" w14:textId="0EC94FBE" w:rsidR="009E219D" w:rsidRPr="009E219D" w:rsidRDefault="009E219D" w:rsidP="00EA162D">
      <w:pPr>
        <w:pStyle w:val="Prrafodelista"/>
        <w:numPr>
          <w:ilvl w:val="0"/>
          <w:numId w:val="16"/>
        </w:numPr>
        <w:spacing w:after="0" w:line="240" w:lineRule="auto"/>
        <w:jc w:val="both"/>
        <w:rPr>
          <w:rFonts w:asciiTheme="majorHAnsi" w:hAnsiTheme="majorHAnsi"/>
          <w:sz w:val="24"/>
          <w:szCs w:val="24"/>
          <w:lang w:val="es-ES_tradnl"/>
        </w:rPr>
      </w:pPr>
      <w:r>
        <w:rPr>
          <w:rFonts w:asciiTheme="majorHAnsi" w:hAnsiTheme="majorHAnsi"/>
          <w:lang w:val="es-ES_tradnl"/>
        </w:rPr>
        <w:t>Enfoque de Género</w:t>
      </w:r>
    </w:p>
    <w:p w14:paraId="4503DC7A" w14:textId="77777777" w:rsidR="009E219D" w:rsidRPr="009E219D" w:rsidRDefault="009E219D" w:rsidP="00EA162D">
      <w:pPr>
        <w:pStyle w:val="Prrafodelista"/>
        <w:numPr>
          <w:ilvl w:val="0"/>
          <w:numId w:val="16"/>
        </w:numPr>
        <w:spacing w:after="0" w:line="240" w:lineRule="auto"/>
        <w:jc w:val="both"/>
        <w:rPr>
          <w:rFonts w:asciiTheme="majorHAnsi" w:hAnsiTheme="majorHAnsi"/>
          <w:sz w:val="24"/>
          <w:szCs w:val="24"/>
          <w:lang w:val="es-ES_tradnl"/>
        </w:rPr>
      </w:pPr>
      <w:r>
        <w:rPr>
          <w:rFonts w:asciiTheme="majorHAnsi" w:hAnsiTheme="majorHAnsi"/>
          <w:lang w:val="es-ES_tradnl"/>
        </w:rPr>
        <w:t>Autodeterminación de los pueblos</w:t>
      </w:r>
    </w:p>
    <w:p w14:paraId="7F0E77C3" w14:textId="77777777" w:rsidR="009E219D" w:rsidRPr="009E219D" w:rsidRDefault="009E219D" w:rsidP="00EA162D">
      <w:pPr>
        <w:pStyle w:val="Prrafodelista"/>
        <w:numPr>
          <w:ilvl w:val="0"/>
          <w:numId w:val="16"/>
        </w:numPr>
        <w:spacing w:after="0" w:line="240" w:lineRule="auto"/>
        <w:jc w:val="both"/>
        <w:rPr>
          <w:rFonts w:asciiTheme="majorHAnsi" w:hAnsiTheme="majorHAnsi"/>
          <w:sz w:val="24"/>
          <w:szCs w:val="24"/>
          <w:lang w:val="es-ES_tradnl"/>
        </w:rPr>
      </w:pPr>
      <w:r>
        <w:rPr>
          <w:rFonts w:asciiTheme="majorHAnsi" w:hAnsiTheme="majorHAnsi"/>
          <w:lang w:val="es-ES_tradnl"/>
        </w:rPr>
        <w:t>Autonomía</w:t>
      </w:r>
    </w:p>
    <w:p w14:paraId="49408451" w14:textId="69156D72" w:rsidR="009E219D" w:rsidRDefault="009E219D" w:rsidP="009E219D">
      <w:pPr>
        <w:spacing w:after="0" w:line="240" w:lineRule="auto"/>
        <w:jc w:val="both"/>
        <w:rPr>
          <w:rFonts w:asciiTheme="majorHAnsi" w:hAnsiTheme="majorHAnsi"/>
          <w:lang w:val="es-ES_tradnl"/>
        </w:rPr>
      </w:pPr>
      <w:r w:rsidRPr="009E219D">
        <w:rPr>
          <w:rFonts w:asciiTheme="majorHAnsi" w:hAnsiTheme="majorHAnsi"/>
          <w:lang w:val="es-ES_tradnl"/>
        </w:rPr>
        <w:t xml:space="preserve"> </w:t>
      </w:r>
    </w:p>
    <w:p w14:paraId="02D3717B" w14:textId="77777777" w:rsidR="0086278D" w:rsidRPr="009E219D" w:rsidRDefault="0086278D" w:rsidP="009E219D">
      <w:pPr>
        <w:spacing w:after="0" w:line="240" w:lineRule="auto"/>
        <w:jc w:val="both"/>
        <w:rPr>
          <w:rFonts w:asciiTheme="majorHAnsi" w:hAnsiTheme="majorHAnsi"/>
          <w:sz w:val="24"/>
          <w:szCs w:val="24"/>
          <w:lang w:val="es-ES_tradnl"/>
        </w:rPr>
      </w:pPr>
    </w:p>
    <w:p w14:paraId="45EB2F7B" w14:textId="26CBE5B5" w:rsidR="00C25D75" w:rsidRPr="009E219D" w:rsidRDefault="00C25D75" w:rsidP="00EA162D">
      <w:pPr>
        <w:pStyle w:val="Prrafodelista"/>
        <w:widowControl w:val="0"/>
        <w:numPr>
          <w:ilvl w:val="0"/>
          <w:numId w:val="17"/>
        </w:numPr>
        <w:spacing w:after="0" w:line="240" w:lineRule="auto"/>
        <w:jc w:val="both"/>
        <w:rPr>
          <w:rFonts w:asciiTheme="majorHAnsi" w:eastAsia="Garamond" w:hAnsiTheme="majorHAnsi" w:cs="Arial"/>
        </w:rPr>
      </w:pPr>
      <w:r w:rsidRPr="009E219D">
        <w:rPr>
          <w:rFonts w:asciiTheme="majorHAnsi" w:eastAsia="Garamond" w:hAnsiTheme="majorHAnsi" w:cs="Arial"/>
          <w:b/>
        </w:rPr>
        <w:t xml:space="preserve">Participación en el marco del Plan: </w:t>
      </w:r>
    </w:p>
    <w:p w14:paraId="6A895D2B" w14:textId="77777777" w:rsidR="00C25D75" w:rsidRPr="00BA435B" w:rsidRDefault="00C25D75" w:rsidP="00F52925">
      <w:pPr>
        <w:widowControl w:val="0"/>
        <w:spacing w:after="0" w:line="240" w:lineRule="auto"/>
        <w:jc w:val="both"/>
        <w:rPr>
          <w:rFonts w:asciiTheme="majorHAnsi" w:eastAsia="Garamond" w:hAnsiTheme="majorHAnsi" w:cs="Arial"/>
        </w:rPr>
      </w:pPr>
    </w:p>
    <w:p w14:paraId="54DFDC5A" w14:textId="47B79800" w:rsidR="00AE2871" w:rsidRPr="00BA435B" w:rsidRDefault="00F05AA5" w:rsidP="00F52925">
      <w:pPr>
        <w:widowControl w:val="0"/>
        <w:spacing w:after="0" w:line="240" w:lineRule="auto"/>
        <w:jc w:val="both"/>
        <w:rPr>
          <w:rFonts w:asciiTheme="majorHAnsi" w:eastAsia="Garamond" w:hAnsiTheme="majorHAnsi" w:cs="Arial"/>
        </w:rPr>
      </w:pPr>
      <w:r w:rsidRPr="00BA435B">
        <w:rPr>
          <w:rFonts w:asciiTheme="majorHAnsi" w:eastAsia="Garamond" w:hAnsiTheme="majorHAnsi" w:cs="Arial"/>
        </w:rPr>
        <w:t xml:space="preserve">De estos principios, es importante destacar el </w:t>
      </w:r>
      <w:r w:rsidR="00FE0B16" w:rsidRPr="00BA435B">
        <w:rPr>
          <w:rFonts w:asciiTheme="majorHAnsi" w:eastAsia="Garamond" w:hAnsiTheme="majorHAnsi" w:cs="Arial"/>
        </w:rPr>
        <w:t xml:space="preserve">de </w:t>
      </w:r>
      <w:r w:rsidRPr="00BA435B">
        <w:rPr>
          <w:rFonts w:asciiTheme="majorHAnsi" w:eastAsia="Garamond" w:hAnsiTheme="majorHAnsi" w:cs="Arial"/>
        </w:rPr>
        <w:t>“participación de los actores del SNIA”</w:t>
      </w:r>
      <w:r w:rsidR="00AE2871" w:rsidRPr="00BA435B">
        <w:rPr>
          <w:rFonts w:asciiTheme="majorHAnsi" w:eastAsia="Garamond" w:hAnsiTheme="majorHAnsi" w:cs="Arial"/>
        </w:rPr>
        <w:t xml:space="preserve"> que se puede ver reflejado en los procesos de planificación, ejecución y evaluación del servicio de extensión agropecuaria de la siguiente manera:</w:t>
      </w:r>
    </w:p>
    <w:p w14:paraId="0057E9F9" w14:textId="77777777" w:rsidR="00AE2871" w:rsidRPr="00BA435B" w:rsidRDefault="00AE2871" w:rsidP="00F52925">
      <w:pPr>
        <w:widowControl w:val="0"/>
        <w:spacing w:after="0" w:line="240" w:lineRule="auto"/>
        <w:jc w:val="both"/>
        <w:rPr>
          <w:rFonts w:asciiTheme="majorHAnsi" w:eastAsia="Garamond" w:hAnsiTheme="majorHAnsi" w:cs="Arial"/>
        </w:rPr>
      </w:pPr>
    </w:p>
    <w:p w14:paraId="694F07B9" w14:textId="608F86FF" w:rsidR="00AE2871" w:rsidRPr="00BA435B" w:rsidRDefault="00AE2871" w:rsidP="00EA162D">
      <w:pPr>
        <w:pStyle w:val="Prrafodelista"/>
        <w:widowControl w:val="0"/>
        <w:numPr>
          <w:ilvl w:val="0"/>
          <w:numId w:val="11"/>
        </w:numPr>
        <w:spacing w:after="0" w:line="240" w:lineRule="auto"/>
        <w:jc w:val="both"/>
        <w:rPr>
          <w:rFonts w:asciiTheme="majorHAnsi" w:eastAsia="Garamond" w:hAnsiTheme="majorHAnsi" w:cs="Arial"/>
        </w:rPr>
      </w:pPr>
      <w:r w:rsidRPr="00BA435B">
        <w:rPr>
          <w:rFonts w:asciiTheme="majorHAnsi" w:eastAsia="Garamond" w:hAnsiTheme="majorHAnsi" w:cs="Arial"/>
          <w:b/>
        </w:rPr>
        <w:t xml:space="preserve">Participación en la planificación: </w:t>
      </w:r>
      <w:r w:rsidRPr="00BA435B">
        <w:rPr>
          <w:rFonts w:asciiTheme="majorHAnsi" w:eastAsia="Garamond" w:hAnsiTheme="majorHAnsi" w:cs="Arial"/>
        </w:rPr>
        <w:t xml:space="preserve">como lo indica el Artículo 29 de la Ley 1876/2017 del SNIA, los Consejos Municipales de Desarrollo Rural (CMDR) serán el espacio de diálogo local de las necesidades e iniciativas que se propongan y se concerten en el </w:t>
      </w:r>
      <w:r w:rsidR="0042505E" w:rsidRPr="00BA435B">
        <w:rPr>
          <w:rFonts w:asciiTheme="majorHAnsi" w:eastAsia="Garamond" w:hAnsiTheme="majorHAnsi" w:cs="Arial"/>
        </w:rPr>
        <w:t xml:space="preserve">Plan Departamental de Extensión Agropecuaria (PDEA) y la participación de los productores agropecuarios en dicho Consejo se dará de conformidad con lo previsto en el artículo 61 de la Ley 101 de 1993. Adicionalmente, se realizarán audiencias públicas regionales para la socialización y construcción colectiva de los PDEA (parágrafo 6 del Artículo 29 de la ley en mención). </w:t>
      </w:r>
    </w:p>
    <w:p w14:paraId="4EFF5CAF" w14:textId="04692140" w:rsidR="001B6163" w:rsidRPr="00BA435B" w:rsidRDefault="001B6163" w:rsidP="00EA162D">
      <w:pPr>
        <w:pStyle w:val="Prrafodelista"/>
        <w:widowControl w:val="0"/>
        <w:numPr>
          <w:ilvl w:val="0"/>
          <w:numId w:val="11"/>
        </w:numPr>
        <w:spacing w:after="0" w:line="240" w:lineRule="auto"/>
        <w:jc w:val="both"/>
        <w:rPr>
          <w:rFonts w:asciiTheme="majorHAnsi" w:eastAsia="Garamond" w:hAnsiTheme="majorHAnsi" w:cs="Arial"/>
        </w:rPr>
      </w:pPr>
      <w:r w:rsidRPr="00BA435B">
        <w:rPr>
          <w:rFonts w:asciiTheme="majorHAnsi" w:eastAsia="Garamond" w:hAnsiTheme="majorHAnsi" w:cs="Arial"/>
          <w:b/>
        </w:rPr>
        <w:t xml:space="preserve">Participación en la ejecución: </w:t>
      </w:r>
      <w:r w:rsidR="008C5A57" w:rsidRPr="00BA435B">
        <w:rPr>
          <w:rFonts w:asciiTheme="majorHAnsi" w:eastAsia="Garamond" w:hAnsiTheme="majorHAnsi" w:cs="Arial"/>
        </w:rPr>
        <w:t>las metodologías de extensión agropecuaria contemplarán a</w:t>
      </w:r>
      <w:r w:rsidR="001E17D8" w:rsidRPr="00BA435B">
        <w:rPr>
          <w:rFonts w:asciiTheme="majorHAnsi" w:eastAsia="Garamond" w:hAnsiTheme="majorHAnsi" w:cs="Arial"/>
        </w:rPr>
        <w:t>cciones en las que se involucre a</w:t>
      </w:r>
      <w:r w:rsidR="008C5A57" w:rsidRPr="00BA435B">
        <w:rPr>
          <w:rFonts w:asciiTheme="majorHAnsi" w:eastAsia="Garamond" w:hAnsiTheme="majorHAnsi" w:cs="Arial"/>
        </w:rPr>
        <w:t xml:space="preserve"> los “productores como agentes de I+D+i”</w:t>
      </w:r>
      <w:r w:rsidR="001E17D8" w:rsidRPr="00BA435B">
        <w:rPr>
          <w:rFonts w:asciiTheme="majorHAnsi" w:eastAsia="Garamond" w:hAnsiTheme="majorHAnsi" w:cs="Arial"/>
        </w:rPr>
        <w:t xml:space="preserve"> y no sólo como receptáculos de información y tecnologías. </w:t>
      </w:r>
    </w:p>
    <w:p w14:paraId="6CB71022" w14:textId="26F6C498" w:rsidR="00AE2871" w:rsidRPr="00BA435B" w:rsidRDefault="00E029FD" w:rsidP="00EA162D">
      <w:pPr>
        <w:pStyle w:val="Prrafodelista"/>
        <w:widowControl w:val="0"/>
        <w:numPr>
          <w:ilvl w:val="0"/>
          <w:numId w:val="11"/>
        </w:numPr>
        <w:spacing w:after="0" w:line="240" w:lineRule="auto"/>
        <w:jc w:val="both"/>
        <w:rPr>
          <w:rFonts w:asciiTheme="majorHAnsi" w:eastAsia="Garamond" w:hAnsiTheme="majorHAnsi" w:cs="Arial"/>
        </w:rPr>
      </w:pPr>
      <w:r w:rsidRPr="00BA435B">
        <w:rPr>
          <w:rFonts w:asciiTheme="majorHAnsi" w:eastAsia="Garamond" w:hAnsiTheme="majorHAnsi" w:cs="Arial"/>
          <w:b/>
        </w:rPr>
        <w:t xml:space="preserve">Participación en la evaluación: </w:t>
      </w:r>
      <w:r w:rsidR="001E4197" w:rsidRPr="00BA435B">
        <w:rPr>
          <w:rFonts w:asciiTheme="majorHAnsi" w:eastAsia="Garamond" w:hAnsiTheme="majorHAnsi" w:cs="Arial"/>
        </w:rPr>
        <w:t xml:space="preserve">la participación de los usuarios del servicio de extensión agropecuaria, será una condición necesaria en el diseño metodológico que se aplique en el proceso de evaluación del servicio, según lo </w:t>
      </w:r>
      <w:r w:rsidR="00CB2FDC" w:rsidRPr="00BA435B">
        <w:rPr>
          <w:rFonts w:asciiTheme="majorHAnsi" w:eastAsia="Garamond" w:hAnsiTheme="majorHAnsi" w:cs="Arial"/>
        </w:rPr>
        <w:t xml:space="preserve">dispone el Artículo 42 de la Ley 1876/2017. </w:t>
      </w:r>
    </w:p>
    <w:p w14:paraId="5AAC2BAF" w14:textId="77777777" w:rsidR="00786736" w:rsidRPr="00BA435B" w:rsidRDefault="00786736" w:rsidP="00F52925">
      <w:pPr>
        <w:widowControl w:val="0"/>
        <w:spacing w:after="0" w:line="240" w:lineRule="auto"/>
        <w:jc w:val="both"/>
        <w:rPr>
          <w:rFonts w:asciiTheme="majorHAnsi" w:eastAsia="Garamond" w:hAnsiTheme="majorHAnsi" w:cs="Arial"/>
        </w:rPr>
      </w:pPr>
    </w:p>
    <w:p w14:paraId="0B637EB5" w14:textId="2F31013E" w:rsidR="00CE2E04" w:rsidRPr="00BA435B" w:rsidRDefault="00CE2E04" w:rsidP="00F52925">
      <w:pPr>
        <w:widowControl w:val="0"/>
        <w:spacing w:after="0" w:line="240" w:lineRule="auto"/>
        <w:jc w:val="both"/>
        <w:rPr>
          <w:rFonts w:asciiTheme="majorHAnsi" w:eastAsia="Garamond" w:hAnsiTheme="majorHAnsi" w:cs="Arial"/>
        </w:rPr>
      </w:pPr>
      <w:r w:rsidRPr="00BA435B">
        <w:rPr>
          <w:rFonts w:asciiTheme="majorHAnsi" w:eastAsia="Garamond" w:hAnsiTheme="majorHAnsi" w:cs="Arial"/>
        </w:rPr>
        <w:t xml:space="preserve">Sumado a lo anterior, los productores tendrán participación en la conformación del </w:t>
      </w:r>
      <w:r w:rsidRPr="00BA435B">
        <w:rPr>
          <w:rFonts w:asciiTheme="majorHAnsi" w:eastAsia="Garamond" w:hAnsiTheme="majorHAnsi" w:cs="Arial"/>
          <w:b/>
        </w:rPr>
        <w:t>Consejo Superior del SNIA</w:t>
      </w:r>
      <w:r w:rsidR="007412C3" w:rsidRPr="00BA435B">
        <w:rPr>
          <w:rFonts w:asciiTheme="majorHAnsi" w:eastAsia="Garamond" w:hAnsiTheme="majorHAnsi" w:cs="Arial"/>
          <w:b/>
        </w:rPr>
        <w:t xml:space="preserve"> </w:t>
      </w:r>
      <w:r w:rsidR="007412C3" w:rsidRPr="00BA435B">
        <w:rPr>
          <w:rFonts w:asciiTheme="majorHAnsi" w:eastAsia="Garamond" w:hAnsiTheme="majorHAnsi" w:cs="Arial"/>
        </w:rPr>
        <w:t>como órgano asesor del Ministerio de Agricultura y Desarrollo Rural en todo lo relacionado con el SNIA. S</w:t>
      </w:r>
      <w:r w:rsidRPr="00BA435B">
        <w:rPr>
          <w:rFonts w:asciiTheme="majorHAnsi" w:eastAsia="Garamond" w:hAnsiTheme="majorHAnsi" w:cs="Arial"/>
        </w:rPr>
        <w:t>egún lo dispuesto en el Art</w:t>
      </w:r>
      <w:r w:rsidR="007412C3" w:rsidRPr="00BA435B">
        <w:rPr>
          <w:rFonts w:asciiTheme="majorHAnsi" w:eastAsia="Garamond" w:hAnsiTheme="majorHAnsi" w:cs="Arial"/>
        </w:rPr>
        <w:t xml:space="preserve">ículo 9 de la Ley 1876/2017, de un total de veinte (20) representantes de este Consejo, cinco (5) serán productores agropecuarios, según lo describe el </w:t>
      </w:r>
      <w:r w:rsidR="007412C3" w:rsidRPr="00BA435B">
        <w:rPr>
          <w:rFonts w:asciiTheme="majorHAnsi" w:eastAsia="Garamond" w:hAnsiTheme="majorHAnsi" w:cs="Arial"/>
        </w:rPr>
        <w:lastRenderedPageBreak/>
        <w:t>numeral 13 del mismo artículo:</w:t>
      </w:r>
    </w:p>
    <w:p w14:paraId="5EED2B26" w14:textId="77777777" w:rsidR="00902288" w:rsidRPr="00BA435B" w:rsidRDefault="00902288" w:rsidP="00F52925">
      <w:pPr>
        <w:widowControl w:val="0"/>
        <w:spacing w:after="0" w:line="240" w:lineRule="auto"/>
        <w:jc w:val="both"/>
        <w:rPr>
          <w:rFonts w:asciiTheme="majorHAnsi" w:eastAsia="Garamond" w:hAnsiTheme="majorHAnsi" w:cs="Arial"/>
        </w:rPr>
      </w:pPr>
    </w:p>
    <w:p w14:paraId="0CACC1BF" w14:textId="77777777" w:rsidR="00902288" w:rsidRPr="00BA435B" w:rsidRDefault="00902288" w:rsidP="007412C3">
      <w:pPr>
        <w:widowControl w:val="0"/>
        <w:spacing w:after="0" w:line="240" w:lineRule="auto"/>
        <w:jc w:val="both"/>
        <w:rPr>
          <w:rFonts w:asciiTheme="majorHAnsi" w:eastAsia="Garamond" w:hAnsiTheme="majorHAnsi" w:cs="Arial"/>
          <w:i/>
        </w:rPr>
      </w:pPr>
      <w:r w:rsidRPr="00BA435B">
        <w:rPr>
          <w:rFonts w:asciiTheme="majorHAnsi" w:eastAsia="Garamond" w:hAnsiTheme="majorHAnsi" w:cs="Arial"/>
          <w:i/>
        </w:rPr>
        <w:t xml:space="preserve">13. Cinco representantes de los productores agropecuarios, uno será el presidente de la Sociedad de Agricultores de Colombia –SAC o su vicepresidente delegado, un representante de las Organizaciones Comunitarias, un representante de las Comunidades Indígenas, un representante de las Comunidades Negras, Afrodescendientes Raizales y Palenqueras –NARP y una representante de la mujer Rural. Estos cuatro últimos representantes serán elegidos por sus organizaciones, según los criterios y procedimientos establecidos en la reglamentación de la presente ley (Ley 1876 de 2017). </w:t>
      </w:r>
    </w:p>
    <w:p w14:paraId="0A1D26CD" w14:textId="77777777" w:rsidR="00561D0F" w:rsidRPr="00BA435B" w:rsidRDefault="00561D0F" w:rsidP="007412C3">
      <w:pPr>
        <w:widowControl w:val="0"/>
        <w:spacing w:after="0" w:line="240" w:lineRule="auto"/>
        <w:jc w:val="both"/>
        <w:rPr>
          <w:rFonts w:asciiTheme="majorHAnsi" w:eastAsia="Garamond" w:hAnsiTheme="majorHAnsi" w:cs="Arial"/>
          <w:i/>
        </w:rPr>
      </w:pPr>
    </w:p>
    <w:p w14:paraId="1B662EDD" w14:textId="35B1A41C" w:rsidR="00561D0F" w:rsidRPr="00BA435B" w:rsidRDefault="00FE734B" w:rsidP="007412C3">
      <w:pPr>
        <w:widowControl w:val="0"/>
        <w:spacing w:after="0" w:line="240" w:lineRule="auto"/>
        <w:jc w:val="both"/>
        <w:rPr>
          <w:rFonts w:asciiTheme="majorHAnsi" w:eastAsia="Garamond" w:hAnsiTheme="majorHAnsi" w:cs="Arial"/>
        </w:rPr>
      </w:pPr>
      <w:r w:rsidRPr="00BA435B">
        <w:rPr>
          <w:rFonts w:asciiTheme="majorHAnsi" w:eastAsia="Garamond" w:hAnsiTheme="majorHAnsi" w:cs="Arial"/>
        </w:rPr>
        <w:t xml:space="preserve">De igual forma, las </w:t>
      </w:r>
      <w:r w:rsidRPr="00BA435B">
        <w:rPr>
          <w:rFonts w:asciiTheme="majorHAnsi" w:eastAsia="Garamond" w:hAnsiTheme="majorHAnsi" w:cs="Arial"/>
          <w:b/>
        </w:rPr>
        <w:t xml:space="preserve">Mesas de Ciencia, Tecnología e Innovación Agropecuaria (CTIA) </w:t>
      </w:r>
      <w:r w:rsidRPr="00BA435B">
        <w:rPr>
          <w:rFonts w:asciiTheme="majorHAnsi" w:eastAsia="Garamond" w:hAnsiTheme="majorHAnsi" w:cs="Arial"/>
        </w:rPr>
        <w:t>definidas en el Artículo 12 de la Ley 1876/2017, serán creadas por las Comisiones Regionales de Competitividad (CRC), con el objetivo principal de “</w:t>
      </w:r>
      <w:r w:rsidRPr="00BA435B">
        <w:rPr>
          <w:rFonts w:asciiTheme="majorHAnsi" w:eastAsia="Garamond" w:hAnsiTheme="majorHAnsi" w:cs="Arial"/>
          <w:i/>
        </w:rPr>
        <w:t>promover el desarrollo de los Sistemas Territoriales de Innovación”.</w:t>
      </w:r>
      <w:r w:rsidRPr="00BA435B">
        <w:rPr>
          <w:rFonts w:asciiTheme="majorHAnsi" w:eastAsia="Garamond" w:hAnsiTheme="majorHAnsi" w:cs="Arial"/>
        </w:rPr>
        <w:t xml:space="preserve"> Las mesas estarán conformadas por representantes de las organizaciones de cadenas regionales, las organizaciones de productores agropecuarios, las organizaciones comunitarios, los representantes de los CMDR, los Centros de Investigación y Desarrollo Tecnológico del sector agropecuario con presencia en la región, las instituciones de educación superior, especialmente las universidades, las entidades sectoriales del nivel territorial y un representante de los Consejos Departamentales de Ciencia, Tecnología e Innovación (Codectis); entre otros, además serán presididas por las Secretarías de Agricultura Departamentales, o quien haga sus veces. </w:t>
      </w:r>
    </w:p>
    <w:p w14:paraId="4DCD62E0" w14:textId="77777777" w:rsidR="001940F8" w:rsidRPr="00BA435B" w:rsidRDefault="001940F8" w:rsidP="007412C3">
      <w:pPr>
        <w:widowControl w:val="0"/>
        <w:spacing w:after="0" w:line="240" w:lineRule="auto"/>
        <w:jc w:val="both"/>
        <w:rPr>
          <w:rFonts w:asciiTheme="majorHAnsi" w:eastAsia="Garamond" w:hAnsiTheme="majorHAnsi" w:cs="Arial"/>
        </w:rPr>
      </w:pPr>
    </w:p>
    <w:p w14:paraId="3ABC85F7" w14:textId="77777777" w:rsidR="00FE734B" w:rsidRPr="00BA435B" w:rsidRDefault="00FE734B" w:rsidP="007412C3">
      <w:pPr>
        <w:widowControl w:val="0"/>
        <w:spacing w:after="0" w:line="240" w:lineRule="auto"/>
        <w:jc w:val="both"/>
        <w:rPr>
          <w:rFonts w:asciiTheme="majorHAnsi" w:eastAsia="Garamond" w:hAnsiTheme="majorHAnsi" w:cs="Arial"/>
        </w:rPr>
      </w:pPr>
    </w:p>
    <w:p w14:paraId="1F301C40" w14:textId="4D7F7DAC" w:rsidR="00C25D75" w:rsidRPr="00BA435B" w:rsidRDefault="00C25D75" w:rsidP="0086278D">
      <w:pPr>
        <w:widowControl w:val="0"/>
        <w:spacing w:after="0" w:line="240" w:lineRule="auto"/>
        <w:jc w:val="center"/>
        <w:rPr>
          <w:rFonts w:asciiTheme="majorHAnsi" w:eastAsia="Garamond" w:hAnsiTheme="majorHAnsi" w:cs="Arial"/>
        </w:rPr>
      </w:pPr>
      <w:r w:rsidRPr="00BA435B">
        <w:rPr>
          <w:rFonts w:asciiTheme="majorHAnsi" w:hAnsiTheme="majorHAnsi"/>
          <w:noProof/>
          <w:lang w:eastAsia="es-CO"/>
        </w:rPr>
        <w:drawing>
          <wp:inline distT="0" distB="0" distL="0" distR="0" wp14:anchorId="2F05008F" wp14:editId="2E130FB7">
            <wp:extent cx="4595854" cy="2449163"/>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253" t="27374" r="4444" b="21129"/>
                    <a:stretch/>
                  </pic:blipFill>
                  <pic:spPr bwMode="auto">
                    <a:xfrm>
                      <a:off x="0" y="0"/>
                      <a:ext cx="4618845" cy="2461415"/>
                    </a:xfrm>
                    <a:prstGeom prst="rect">
                      <a:avLst/>
                    </a:prstGeom>
                    <a:ln>
                      <a:noFill/>
                    </a:ln>
                    <a:extLst>
                      <a:ext uri="{53640926-AAD7-44D8-BBD7-CCE9431645EC}">
                        <a14:shadowObscured xmlns:a14="http://schemas.microsoft.com/office/drawing/2010/main"/>
                      </a:ext>
                    </a:extLst>
                  </pic:spPr>
                </pic:pic>
              </a:graphicData>
            </a:graphic>
          </wp:inline>
        </w:drawing>
      </w:r>
    </w:p>
    <w:p w14:paraId="33455D0F" w14:textId="52FF6325" w:rsidR="001940F8" w:rsidRPr="00BA435B" w:rsidRDefault="001940F8" w:rsidP="001940F8">
      <w:pPr>
        <w:widowControl w:val="0"/>
        <w:spacing w:after="0" w:line="240" w:lineRule="auto"/>
        <w:jc w:val="center"/>
        <w:rPr>
          <w:rFonts w:asciiTheme="majorHAnsi" w:eastAsia="Garamond" w:hAnsiTheme="majorHAnsi" w:cs="Arial"/>
        </w:rPr>
      </w:pPr>
      <w:r w:rsidRPr="00BA435B">
        <w:rPr>
          <w:rFonts w:asciiTheme="majorHAnsi" w:eastAsia="Garamond" w:hAnsiTheme="majorHAnsi" w:cs="Arial"/>
          <w:b/>
        </w:rPr>
        <w:t>Ilustración 1.</w:t>
      </w:r>
      <w:r w:rsidRPr="00BA435B">
        <w:rPr>
          <w:rFonts w:asciiTheme="majorHAnsi" w:eastAsia="Garamond" w:hAnsiTheme="majorHAnsi" w:cs="Arial"/>
        </w:rPr>
        <w:t xml:space="preserve"> Esquema de participación de los actores del SNIA</w:t>
      </w:r>
    </w:p>
    <w:p w14:paraId="13B8923A" w14:textId="77777777" w:rsidR="00C25D75" w:rsidRPr="00BA435B" w:rsidRDefault="00C25D75" w:rsidP="007412C3">
      <w:pPr>
        <w:widowControl w:val="0"/>
        <w:spacing w:after="0" w:line="240" w:lineRule="auto"/>
        <w:jc w:val="both"/>
        <w:rPr>
          <w:rFonts w:asciiTheme="majorHAnsi" w:eastAsia="Garamond" w:hAnsiTheme="majorHAnsi" w:cs="Arial"/>
        </w:rPr>
      </w:pPr>
    </w:p>
    <w:p w14:paraId="2ACE7FC8" w14:textId="77777777" w:rsidR="00C25D75" w:rsidRPr="00BA435B" w:rsidRDefault="00C25D75" w:rsidP="007412C3">
      <w:pPr>
        <w:widowControl w:val="0"/>
        <w:spacing w:after="0" w:line="240" w:lineRule="auto"/>
        <w:jc w:val="both"/>
        <w:rPr>
          <w:rFonts w:asciiTheme="majorHAnsi" w:eastAsia="Garamond" w:hAnsiTheme="majorHAnsi" w:cs="Arial"/>
        </w:rPr>
      </w:pPr>
    </w:p>
    <w:p w14:paraId="1A14C85F" w14:textId="77777777" w:rsidR="00786736" w:rsidRPr="00BA435B" w:rsidRDefault="00786736" w:rsidP="00F52925">
      <w:pPr>
        <w:widowControl w:val="0"/>
        <w:spacing w:after="0" w:line="240" w:lineRule="auto"/>
        <w:jc w:val="both"/>
        <w:rPr>
          <w:rFonts w:asciiTheme="majorHAnsi" w:eastAsia="Garamond" w:hAnsiTheme="majorHAnsi" w:cs="Arial"/>
        </w:rPr>
      </w:pPr>
    </w:p>
    <w:p w14:paraId="7738233F" w14:textId="370E8597" w:rsidR="00C25D75" w:rsidRPr="0086278D" w:rsidRDefault="00C25D75" w:rsidP="00EA162D">
      <w:pPr>
        <w:pStyle w:val="Prrafodelista"/>
        <w:widowControl w:val="0"/>
        <w:numPr>
          <w:ilvl w:val="0"/>
          <w:numId w:val="17"/>
        </w:numPr>
        <w:spacing w:after="0" w:line="240" w:lineRule="auto"/>
        <w:jc w:val="both"/>
        <w:rPr>
          <w:rFonts w:asciiTheme="majorHAnsi" w:eastAsia="Garamond" w:hAnsiTheme="majorHAnsi" w:cs="Arial"/>
          <w:b/>
        </w:rPr>
      </w:pPr>
      <w:r w:rsidRPr="0086278D">
        <w:rPr>
          <w:rFonts w:asciiTheme="majorHAnsi" w:eastAsia="Garamond" w:hAnsiTheme="majorHAnsi" w:cs="Arial"/>
          <w:b/>
        </w:rPr>
        <w:t xml:space="preserve">Enfoque </w:t>
      </w:r>
      <w:r w:rsidR="0086278D">
        <w:rPr>
          <w:rFonts w:asciiTheme="majorHAnsi" w:eastAsia="Garamond" w:hAnsiTheme="majorHAnsi" w:cs="Arial"/>
          <w:b/>
        </w:rPr>
        <w:t>de</w:t>
      </w:r>
      <w:r w:rsidRPr="0086278D">
        <w:rPr>
          <w:rFonts w:asciiTheme="majorHAnsi" w:eastAsia="Garamond" w:hAnsiTheme="majorHAnsi" w:cs="Arial"/>
          <w:b/>
        </w:rPr>
        <w:t xml:space="preserve"> Género:</w:t>
      </w:r>
    </w:p>
    <w:p w14:paraId="70D3ACEE" w14:textId="77777777" w:rsidR="00C25D75" w:rsidRDefault="00C25D75" w:rsidP="00F52925">
      <w:pPr>
        <w:widowControl w:val="0"/>
        <w:spacing w:after="0" w:line="240" w:lineRule="auto"/>
        <w:jc w:val="both"/>
        <w:rPr>
          <w:rFonts w:asciiTheme="majorHAnsi" w:eastAsia="Garamond" w:hAnsiTheme="majorHAnsi" w:cs="Arial"/>
          <w:b/>
        </w:rPr>
      </w:pPr>
    </w:p>
    <w:p w14:paraId="72870354" w14:textId="7AFDB286" w:rsidR="0086278D" w:rsidRPr="0086278D" w:rsidRDefault="0086278D" w:rsidP="0086278D">
      <w:pPr>
        <w:spacing w:after="200" w:line="240" w:lineRule="auto"/>
        <w:jc w:val="both"/>
        <w:rPr>
          <w:rFonts w:asciiTheme="majorHAnsi" w:eastAsia="Garamond" w:hAnsiTheme="majorHAnsi" w:cs="Arial"/>
        </w:rPr>
      </w:pPr>
      <w:r>
        <w:rPr>
          <w:rFonts w:asciiTheme="majorHAnsi" w:eastAsia="Garamond" w:hAnsiTheme="majorHAnsi" w:cs="Arial"/>
        </w:rPr>
        <w:t xml:space="preserve">Este enfoque </w:t>
      </w:r>
      <w:r w:rsidRPr="0086278D">
        <w:rPr>
          <w:rFonts w:asciiTheme="majorHAnsi" w:eastAsia="Garamond" w:hAnsiTheme="majorHAnsi" w:cs="Arial"/>
        </w:rPr>
        <w:t xml:space="preserve">busca reconocer que hombres y mujeres tienen diferentes necesidades debido a patrones culturales que les son asignados en la sociedad. Señala como problema fundamental que las mujeres no gozan del reconocimiento social que les permitiera disponer de los recursos necesarios para la producción y el disfrute directo de los beneficios de su trabajo. </w:t>
      </w:r>
    </w:p>
    <w:p w14:paraId="15B6C02E" w14:textId="77777777" w:rsidR="0086278D" w:rsidRDefault="0086278D" w:rsidP="0086278D">
      <w:pPr>
        <w:spacing w:after="200" w:line="240" w:lineRule="auto"/>
        <w:jc w:val="both"/>
        <w:rPr>
          <w:rFonts w:asciiTheme="majorHAnsi" w:eastAsia="Garamond" w:hAnsiTheme="majorHAnsi" w:cs="Arial"/>
        </w:rPr>
      </w:pPr>
      <w:r w:rsidRPr="0086278D">
        <w:rPr>
          <w:rFonts w:asciiTheme="majorHAnsi" w:eastAsia="Garamond" w:hAnsiTheme="majorHAnsi" w:cs="Arial"/>
        </w:rPr>
        <w:lastRenderedPageBreak/>
        <w:t xml:space="preserve">Por lo tanto se parte de que género no es sinónimo de sexo. El sexo está determinado biológicamente e implica diferencias fisiológicas: se nace con órganos sexuales masculinos o femeninos. En cambio, el género está determinado cultural y socialmente por las tareas y funciones asignadas a las mujeres y los hombres en la vida pública y privada; puede cambiar según el tiempo, el lugar y el contexto social (PNUD, 2006). En ese sentido, el desarrollo con perspectiva de género “reconoce la diversidad de necesidades y roles ejercidos por los diferentes actores sociales y por lo tanto, la exigencia de adecuar las políticas a las características de sus beneficiarios(as), dentro de los principios constitucionales de equidad, democracia participativa, descentralización y desarrollo sostenible” (Muñoz. 2003: 104).  </w:t>
      </w:r>
    </w:p>
    <w:p w14:paraId="653A5EEC" w14:textId="5BE460B4" w:rsidR="00C23D80" w:rsidRDefault="00C23D80" w:rsidP="0086278D">
      <w:pPr>
        <w:spacing w:after="200" w:line="240" w:lineRule="auto"/>
        <w:jc w:val="both"/>
        <w:rPr>
          <w:rFonts w:asciiTheme="majorHAnsi" w:eastAsia="Garamond" w:hAnsiTheme="majorHAnsi" w:cs="Arial"/>
        </w:rPr>
      </w:pPr>
      <w:r>
        <w:rPr>
          <w:rFonts w:asciiTheme="majorHAnsi" w:eastAsia="Garamond" w:hAnsiTheme="majorHAnsi" w:cs="Arial"/>
        </w:rPr>
        <w:t>Para asegurar la incorporación de este principio, el Plan Marco de Implementación (PMI) incluye un indicador en este sentido:</w:t>
      </w:r>
    </w:p>
    <w:p w14:paraId="418790DB" w14:textId="38D8809E" w:rsidR="00C23D80" w:rsidRPr="00C23D80" w:rsidRDefault="00C23D80" w:rsidP="00EA162D">
      <w:pPr>
        <w:pStyle w:val="Prrafodelista"/>
        <w:numPr>
          <w:ilvl w:val="0"/>
          <w:numId w:val="21"/>
        </w:numPr>
        <w:spacing w:after="200" w:line="240" w:lineRule="auto"/>
        <w:jc w:val="both"/>
        <w:rPr>
          <w:rFonts w:asciiTheme="majorHAnsi" w:eastAsia="Garamond" w:hAnsiTheme="majorHAnsi" w:cs="Arial"/>
          <w:i/>
        </w:rPr>
      </w:pPr>
      <w:r w:rsidRPr="00C23D80">
        <w:rPr>
          <w:rFonts w:asciiTheme="majorHAnsi" w:eastAsia="Garamond" w:hAnsiTheme="majorHAnsi" w:cs="Arial"/>
          <w:b/>
          <w:i/>
        </w:rPr>
        <w:t>Porcentaje de productoras</w:t>
      </w:r>
      <w:r w:rsidRPr="00C23D80">
        <w:rPr>
          <w:rFonts w:asciiTheme="majorHAnsi" w:eastAsia="Garamond" w:hAnsiTheme="majorHAnsi" w:cs="Arial"/>
          <w:i/>
        </w:rPr>
        <w:t xml:space="preserve"> en el registro que reciben el servicio de extensión agropecuaria</w:t>
      </w:r>
    </w:p>
    <w:p w14:paraId="03B46F8E" w14:textId="48851C6F" w:rsidR="0086278D" w:rsidRPr="0033483B" w:rsidRDefault="0033483B" w:rsidP="00F52925">
      <w:pPr>
        <w:widowControl w:val="0"/>
        <w:spacing w:after="0" w:line="240" w:lineRule="auto"/>
        <w:jc w:val="both"/>
        <w:rPr>
          <w:rFonts w:asciiTheme="majorHAnsi" w:eastAsia="Garamond" w:hAnsiTheme="majorHAnsi" w:cs="Arial"/>
        </w:rPr>
      </w:pPr>
      <w:r>
        <w:rPr>
          <w:rFonts w:asciiTheme="majorHAnsi" w:eastAsia="Garamond" w:hAnsiTheme="majorHAnsi" w:cs="Arial"/>
        </w:rPr>
        <w:t xml:space="preserve">De acuerdo a lo anterior, el Registro de usuarios de extensión agropecuaria deberá discriminar la información de </w:t>
      </w:r>
      <w:r w:rsidRPr="00CC242C">
        <w:rPr>
          <w:rFonts w:asciiTheme="majorHAnsi" w:eastAsia="Garamond" w:hAnsiTheme="majorHAnsi" w:cs="Arial"/>
          <w:b/>
        </w:rPr>
        <w:t>usuarias y usuarios</w:t>
      </w:r>
      <w:r>
        <w:rPr>
          <w:rFonts w:asciiTheme="majorHAnsi" w:eastAsia="Garamond" w:hAnsiTheme="majorHAnsi" w:cs="Arial"/>
        </w:rPr>
        <w:t xml:space="preserve"> del servicio extensión agropecuaria. </w:t>
      </w:r>
    </w:p>
    <w:p w14:paraId="722FCA04" w14:textId="77777777" w:rsidR="00C308BD" w:rsidRPr="00BA435B" w:rsidRDefault="00C308BD" w:rsidP="00C308BD">
      <w:pPr>
        <w:spacing w:after="200" w:line="240" w:lineRule="auto"/>
        <w:jc w:val="both"/>
        <w:rPr>
          <w:rFonts w:asciiTheme="majorHAnsi" w:eastAsia="Garamond" w:hAnsiTheme="majorHAnsi" w:cs="Arial"/>
        </w:rPr>
      </w:pPr>
    </w:p>
    <w:p w14:paraId="6C0D7AF6" w14:textId="276D747F" w:rsidR="00F52925" w:rsidRPr="0086278D" w:rsidRDefault="00F52925" w:rsidP="00EA162D">
      <w:pPr>
        <w:pStyle w:val="Prrafodelista"/>
        <w:numPr>
          <w:ilvl w:val="0"/>
          <w:numId w:val="17"/>
        </w:numPr>
        <w:spacing w:after="200" w:line="240" w:lineRule="auto"/>
        <w:jc w:val="both"/>
        <w:rPr>
          <w:rFonts w:asciiTheme="majorHAnsi" w:eastAsia="Garamond" w:hAnsiTheme="majorHAnsi" w:cs="Arial"/>
        </w:rPr>
      </w:pPr>
      <w:r w:rsidRPr="0086278D">
        <w:rPr>
          <w:rFonts w:asciiTheme="majorHAnsi" w:eastAsia="Garamond" w:hAnsiTheme="majorHAnsi" w:cs="Arial"/>
          <w:b/>
        </w:rPr>
        <w:t>Autodeterminación de los pueblos:</w:t>
      </w:r>
    </w:p>
    <w:p w14:paraId="41C174A6" w14:textId="77777777" w:rsidR="0086278D" w:rsidRPr="0086278D" w:rsidRDefault="0086278D" w:rsidP="0086278D">
      <w:pPr>
        <w:pStyle w:val="Prrafodelista"/>
        <w:spacing w:after="200" w:line="240" w:lineRule="auto"/>
        <w:jc w:val="both"/>
        <w:rPr>
          <w:rFonts w:asciiTheme="majorHAnsi" w:eastAsia="Garamond" w:hAnsiTheme="majorHAnsi" w:cs="Arial"/>
        </w:rPr>
      </w:pPr>
    </w:p>
    <w:p w14:paraId="30985E1A" w14:textId="77777777" w:rsidR="00F52925" w:rsidRPr="00BA435B" w:rsidRDefault="005D53F2" w:rsidP="00EA162D">
      <w:pPr>
        <w:pStyle w:val="Prrafodelista"/>
        <w:numPr>
          <w:ilvl w:val="0"/>
          <w:numId w:val="10"/>
        </w:numPr>
        <w:spacing w:after="200" w:line="240" w:lineRule="auto"/>
        <w:jc w:val="both"/>
        <w:rPr>
          <w:rFonts w:asciiTheme="majorHAnsi" w:hAnsiTheme="majorHAnsi"/>
        </w:rPr>
      </w:pPr>
      <w:r w:rsidRPr="00BA435B">
        <w:rPr>
          <w:rFonts w:asciiTheme="majorHAnsi" w:eastAsia="Garamond" w:hAnsiTheme="majorHAnsi" w:cs="Arial"/>
          <w:b/>
        </w:rPr>
        <w:t xml:space="preserve">Declaración de las Naciones Unidas sobre los derechos de los pueblos indígenas Declaración de las Naciones Unidas sobre los derechos de los pueblos indígenas: </w:t>
      </w:r>
      <w:r w:rsidR="00F52925" w:rsidRPr="00BA435B">
        <w:rPr>
          <w:rFonts w:asciiTheme="majorHAnsi" w:eastAsia="Garamond" w:hAnsiTheme="majorHAnsi" w:cs="Arial"/>
          <w:i/>
        </w:rPr>
        <w:t>Art. 4 "Los pueblos indígenas, en ejercicio de su derecho a la libre determinación, tienen derecho a la autonomía o al autogobierno en las cuestiones relacionadas con sus asuntos internos y locales, así como a disponer de medios para financiar sus funciones autónomas."</w:t>
      </w:r>
      <w:r w:rsidR="00F52925" w:rsidRPr="00BA435B">
        <w:rPr>
          <w:rFonts w:asciiTheme="majorHAnsi" w:eastAsia="Garamond" w:hAnsiTheme="majorHAnsi" w:cs="Arial"/>
        </w:rPr>
        <w:t xml:space="preserve"> </w:t>
      </w:r>
    </w:p>
    <w:p w14:paraId="605ECCEE" w14:textId="77777777" w:rsidR="005D53F2" w:rsidRPr="00BA435B" w:rsidRDefault="005D53F2" w:rsidP="00EA162D">
      <w:pPr>
        <w:pStyle w:val="Prrafodelista"/>
        <w:numPr>
          <w:ilvl w:val="0"/>
          <w:numId w:val="10"/>
        </w:numPr>
        <w:spacing w:after="200" w:line="240" w:lineRule="auto"/>
        <w:jc w:val="both"/>
        <w:rPr>
          <w:rFonts w:asciiTheme="majorHAnsi" w:eastAsia="Garamond" w:hAnsiTheme="majorHAnsi" w:cs="Arial"/>
          <w:i/>
        </w:rPr>
      </w:pPr>
      <w:r w:rsidRPr="00BA435B">
        <w:rPr>
          <w:rFonts w:asciiTheme="majorHAnsi" w:eastAsia="Garamond" w:hAnsiTheme="majorHAnsi" w:cs="Arial"/>
          <w:b/>
        </w:rPr>
        <w:t xml:space="preserve">Convenio 169 de la OIT - Ley 21 de 1991: </w:t>
      </w:r>
      <w:r w:rsidRPr="00BA435B">
        <w:rPr>
          <w:rFonts w:asciiTheme="majorHAnsi" w:eastAsia="Garamond" w:hAnsiTheme="majorHAnsi" w:cs="Arial"/>
          <w:i/>
        </w:rPr>
        <w:t>Art 7 No 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14:paraId="2FE8BD39" w14:textId="4E10D69D" w:rsidR="00F52925" w:rsidRPr="00BA435B" w:rsidRDefault="00F52925" w:rsidP="00EA162D">
      <w:pPr>
        <w:pStyle w:val="Prrafodelista"/>
        <w:numPr>
          <w:ilvl w:val="0"/>
          <w:numId w:val="10"/>
        </w:numPr>
        <w:spacing w:after="200" w:line="240" w:lineRule="auto"/>
        <w:jc w:val="both"/>
        <w:rPr>
          <w:rFonts w:asciiTheme="majorHAnsi" w:eastAsia="Garamond" w:hAnsiTheme="majorHAnsi" w:cs="Arial"/>
          <w:b/>
        </w:rPr>
      </w:pPr>
      <w:r w:rsidRPr="00BA435B">
        <w:rPr>
          <w:rFonts w:asciiTheme="majorHAnsi" w:eastAsia="Garamond" w:hAnsiTheme="majorHAnsi" w:cs="Arial"/>
          <w:b/>
        </w:rPr>
        <w:t>La Corte Constitucional define el Derecho a la libre determinación o autonomía así</w:t>
      </w:r>
      <w:r w:rsidR="00163B2E" w:rsidRPr="00BA435B">
        <w:rPr>
          <w:rFonts w:asciiTheme="majorHAnsi" w:eastAsia="Garamond" w:hAnsiTheme="majorHAnsi" w:cs="Arial"/>
          <w:b/>
        </w:rPr>
        <w:t xml:space="preserve">: </w:t>
      </w:r>
      <w:r w:rsidR="00163B2E" w:rsidRPr="00BA435B">
        <w:rPr>
          <w:rFonts w:asciiTheme="majorHAnsi" w:eastAsia="Garamond" w:hAnsiTheme="majorHAnsi" w:cs="Arial"/>
          <w:i/>
        </w:rPr>
        <w:t>“</w:t>
      </w:r>
      <w:r w:rsidR="005D53F2" w:rsidRPr="00BA435B">
        <w:rPr>
          <w:rFonts w:asciiTheme="majorHAnsi" w:eastAsia="Garamond" w:hAnsiTheme="majorHAnsi" w:cs="Arial"/>
          <w:i/>
        </w:rPr>
        <w:t>[</w:t>
      </w:r>
      <w:r w:rsidRPr="00BA435B">
        <w:rPr>
          <w:rFonts w:asciiTheme="majorHAnsi" w:eastAsia="Garamond" w:hAnsiTheme="majorHAnsi" w:cs="Arial"/>
          <w:i/>
        </w:rPr>
        <w:t>...] comprende la facultad de las comunidades étnicas de determinar sus propias instituciones y autoridades de gobierno, darse o conservar sus normas, costumbres, visión del mundo y opción de desarrollo o proyecto de vida; y adoptar las decisiones internas o locales que estimen más adecuadas para la conservación o protección de esos fines." Sentencia T-823 de 2012 (M.P. Jorge Ignacio Pretelt Chaljub)</w:t>
      </w:r>
    </w:p>
    <w:p w14:paraId="0EB009BA" w14:textId="77777777" w:rsidR="00F52925" w:rsidRPr="00BA435B" w:rsidRDefault="00F52925" w:rsidP="00F52925">
      <w:pPr>
        <w:pStyle w:val="Prrafodelista"/>
        <w:spacing w:after="200" w:line="240" w:lineRule="auto"/>
        <w:ind w:left="284"/>
        <w:jc w:val="both"/>
        <w:rPr>
          <w:rFonts w:asciiTheme="majorHAnsi" w:eastAsia="Garamond" w:hAnsiTheme="majorHAnsi" w:cs="Arial"/>
        </w:rPr>
      </w:pPr>
    </w:p>
    <w:p w14:paraId="5A352987" w14:textId="77777777" w:rsidR="0086278D" w:rsidRDefault="00F52925" w:rsidP="00EA162D">
      <w:pPr>
        <w:pStyle w:val="Prrafodelista"/>
        <w:numPr>
          <w:ilvl w:val="0"/>
          <w:numId w:val="17"/>
        </w:numPr>
        <w:spacing w:after="200" w:line="240" w:lineRule="auto"/>
        <w:jc w:val="both"/>
        <w:rPr>
          <w:rFonts w:asciiTheme="majorHAnsi" w:eastAsia="Garamond" w:hAnsiTheme="majorHAnsi" w:cs="Arial"/>
        </w:rPr>
      </w:pPr>
      <w:r w:rsidRPr="00BA435B">
        <w:rPr>
          <w:rFonts w:asciiTheme="majorHAnsi" w:eastAsia="Garamond" w:hAnsiTheme="majorHAnsi" w:cs="Arial"/>
          <w:b/>
        </w:rPr>
        <w:t>Autonomía:</w:t>
      </w:r>
      <w:r w:rsidRPr="00BA435B">
        <w:rPr>
          <w:rFonts w:asciiTheme="majorHAnsi" w:eastAsia="Garamond" w:hAnsiTheme="majorHAnsi" w:cs="Arial"/>
        </w:rPr>
        <w:t xml:space="preserve"> </w:t>
      </w:r>
    </w:p>
    <w:p w14:paraId="1FC6FAE1" w14:textId="77777777" w:rsidR="0086278D" w:rsidRDefault="0086278D" w:rsidP="0086278D">
      <w:pPr>
        <w:pStyle w:val="Prrafodelista"/>
        <w:spacing w:after="200" w:line="240" w:lineRule="auto"/>
        <w:jc w:val="both"/>
        <w:rPr>
          <w:rFonts w:asciiTheme="majorHAnsi" w:eastAsia="Garamond" w:hAnsiTheme="majorHAnsi" w:cs="Arial"/>
        </w:rPr>
      </w:pPr>
    </w:p>
    <w:p w14:paraId="1271EC21" w14:textId="0D876F56" w:rsidR="00F52925" w:rsidRPr="00BA435B" w:rsidRDefault="0086278D" w:rsidP="0086278D">
      <w:pPr>
        <w:pStyle w:val="Prrafodelista"/>
        <w:spacing w:after="200" w:line="240" w:lineRule="auto"/>
        <w:jc w:val="both"/>
        <w:rPr>
          <w:rFonts w:asciiTheme="majorHAnsi" w:eastAsia="Garamond" w:hAnsiTheme="majorHAnsi" w:cs="Arial"/>
        </w:rPr>
      </w:pPr>
      <w:r>
        <w:rPr>
          <w:rFonts w:asciiTheme="majorHAnsi" w:eastAsia="Garamond" w:hAnsiTheme="majorHAnsi" w:cs="Arial"/>
        </w:rPr>
        <w:t>E</w:t>
      </w:r>
      <w:r w:rsidR="00F52925" w:rsidRPr="00BA435B">
        <w:rPr>
          <w:rFonts w:asciiTheme="majorHAnsi" w:eastAsia="Garamond" w:hAnsiTheme="majorHAnsi" w:cs="Arial"/>
        </w:rPr>
        <w:t xml:space="preserve">ncuentra sus principales manifestaciones constitucionales en los artículos 58 y 63 de la Constitución Política de Colombia, que protegen los territorios de los pueblos indígenas y que deben ser interpretados y complementados por los artículos 13-19 del Convenio 169 de la OIT; y en el artículo 329 constitucional que se refiere al carácter no enajaneble de los resguardos, derivado de su calidad de propiedad colectiva; en el artículo 246 que establece </w:t>
      </w:r>
      <w:r w:rsidR="00F52925" w:rsidRPr="00BA435B">
        <w:rPr>
          <w:rFonts w:asciiTheme="majorHAnsi" w:eastAsia="Garamond" w:hAnsiTheme="majorHAnsi" w:cs="Arial"/>
        </w:rPr>
        <w:lastRenderedPageBreak/>
        <w:t xml:space="preserve">la existencia de una Jurisdicción Especial Indígena (aplicación del derecho), que ejercerá sus funciones de acuerdo con los usos y costumbres tradicionales de cada pueblo (facultad de crear o mantener el derecho propio; la autonomía también se proyecta en la organización política de las comunidades, así como en el manejo de sus asuntos, entre los que se destaca el la posibilidad de concebir y manejar un concepto propio de desarrollo, definir sus prioridades y planes económicos, </w:t>
      </w:r>
      <w:r w:rsidR="00AF7142" w:rsidRPr="00BA435B">
        <w:rPr>
          <w:rFonts w:asciiTheme="majorHAnsi" w:eastAsia="Garamond" w:hAnsiTheme="majorHAnsi" w:cs="Arial"/>
        </w:rPr>
        <w:t>etc.</w:t>
      </w:r>
      <w:r w:rsidR="00F52925" w:rsidRPr="00BA435B">
        <w:rPr>
          <w:rFonts w:asciiTheme="majorHAnsi" w:eastAsia="Garamond" w:hAnsiTheme="majorHAnsi" w:cs="Arial"/>
        </w:rPr>
        <w:t xml:space="preserve"> (Ver, principalmente artículos 330, 356 y 357 de la Carta, sobre los que se profundizará en el último acápite de los Fundamentos. Este principio constituye, además, un desarrollo de uno de los principios cardinales del derecho internacional, la “autodeterminación de los pueblos”, que se encuentra consagrado en la Carta de la Organización de las Naciones Unidas, el Pacto Internacional de Derechos Civiles y Políticos (PIDCP), el Pacto Internacional de Derechos Económicos, Sociales y Culturales (PIDESC); en el Programa de Acción de Viena, y en la reciente Declaración Universal de los Derechos de los Pueblos Indígenas, y en el Convenio 169 de la OIT" Sentencia T-514 de 2009 (M.P. Luis Ernesto Vargas Silva)</w:t>
      </w:r>
    </w:p>
    <w:p w14:paraId="377C735F" w14:textId="77777777" w:rsidR="00F52925" w:rsidRPr="00BA435B" w:rsidRDefault="00F52925" w:rsidP="00F52925">
      <w:pPr>
        <w:pStyle w:val="Prrafodelista"/>
        <w:spacing w:after="200" w:line="240" w:lineRule="auto"/>
        <w:ind w:left="284"/>
        <w:jc w:val="both"/>
        <w:rPr>
          <w:rFonts w:asciiTheme="majorHAnsi" w:eastAsia="Garamond" w:hAnsiTheme="majorHAnsi" w:cs="Arial"/>
        </w:rPr>
      </w:pPr>
    </w:p>
    <w:p w14:paraId="6B5EFFE9" w14:textId="77777777" w:rsidR="00CA5475" w:rsidRPr="00BA435B" w:rsidRDefault="00CA5475" w:rsidP="00F52925">
      <w:pPr>
        <w:pStyle w:val="Prrafodelista"/>
        <w:spacing w:after="200" w:line="240" w:lineRule="auto"/>
        <w:ind w:left="284"/>
        <w:jc w:val="both"/>
        <w:rPr>
          <w:rFonts w:asciiTheme="majorHAnsi" w:eastAsia="Garamond" w:hAnsiTheme="majorHAnsi" w:cs="Arial"/>
        </w:rPr>
      </w:pPr>
    </w:p>
    <w:p w14:paraId="1513FB63" w14:textId="6A49F723" w:rsidR="00081233" w:rsidRPr="004858FC" w:rsidRDefault="00081233" w:rsidP="00EA162D">
      <w:pPr>
        <w:pStyle w:val="Ttulo2"/>
        <w:numPr>
          <w:ilvl w:val="1"/>
          <w:numId w:val="3"/>
        </w:numPr>
      </w:pPr>
      <w:bookmarkStart w:id="74" w:name="_Toc4680869"/>
      <w:r w:rsidRPr="004858FC">
        <w:t>Objetivo general</w:t>
      </w:r>
      <w:bookmarkEnd w:id="74"/>
    </w:p>
    <w:p w14:paraId="3A9FD30A" w14:textId="77777777" w:rsidR="00081233" w:rsidRPr="004858FC" w:rsidRDefault="00081233" w:rsidP="00081233">
      <w:pPr>
        <w:pStyle w:val="Sinespaciado"/>
        <w:rPr>
          <w:rFonts w:asciiTheme="majorHAnsi" w:hAnsiTheme="majorHAnsi"/>
          <w:b/>
        </w:rPr>
      </w:pPr>
    </w:p>
    <w:p w14:paraId="2333CED1" w14:textId="0B8E78D4" w:rsidR="00CF5FB3" w:rsidRPr="004858FC" w:rsidRDefault="00CF5FB3" w:rsidP="00CF5FB3">
      <w:pPr>
        <w:pStyle w:val="Sinespaciado"/>
        <w:jc w:val="both"/>
        <w:rPr>
          <w:rFonts w:asciiTheme="majorHAnsi" w:hAnsiTheme="majorHAnsi"/>
          <w:b/>
        </w:rPr>
      </w:pPr>
      <w:r w:rsidRPr="004858FC">
        <w:rPr>
          <w:rFonts w:asciiTheme="majorHAnsi" w:hAnsiTheme="majorHAnsi" w:cs="Arial"/>
        </w:rPr>
        <w:t>Implementar un modelo institucional para la prestación del servicio del servicio público de extensión agropecuaria, que busque mejorar la cobertura, calidad, continuidad, pertinencia y sostenibilidad del servicio.</w:t>
      </w:r>
    </w:p>
    <w:p w14:paraId="055BA1C9" w14:textId="77777777" w:rsidR="00081233" w:rsidRPr="004858FC" w:rsidRDefault="00081233" w:rsidP="00081233">
      <w:pPr>
        <w:pStyle w:val="Sinespaciado"/>
        <w:rPr>
          <w:rFonts w:asciiTheme="majorHAnsi" w:hAnsiTheme="majorHAnsi"/>
          <w:b/>
        </w:rPr>
      </w:pPr>
    </w:p>
    <w:p w14:paraId="23E2D275" w14:textId="77777777" w:rsidR="00CF5FB3" w:rsidRPr="004858FC" w:rsidRDefault="00CF5FB3" w:rsidP="00081233">
      <w:pPr>
        <w:pStyle w:val="Sinespaciado"/>
        <w:rPr>
          <w:rFonts w:asciiTheme="majorHAnsi" w:hAnsiTheme="majorHAnsi"/>
          <w:b/>
        </w:rPr>
      </w:pPr>
    </w:p>
    <w:p w14:paraId="4F9A01F2" w14:textId="0A8BD08F" w:rsidR="00081233" w:rsidRPr="004858FC" w:rsidRDefault="00081233" w:rsidP="00EA162D">
      <w:pPr>
        <w:pStyle w:val="Ttulo2"/>
        <w:numPr>
          <w:ilvl w:val="1"/>
          <w:numId w:val="3"/>
        </w:numPr>
      </w:pPr>
      <w:bookmarkStart w:id="75" w:name="_Toc4680870"/>
      <w:r w:rsidRPr="004858FC">
        <w:t>Objetivos específicos</w:t>
      </w:r>
      <w:bookmarkEnd w:id="75"/>
    </w:p>
    <w:p w14:paraId="62497967" w14:textId="77777777" w:rsidR="00283215" w:rsidRPr="004858FC" w:rsidRDefault="00283215" w:rsidP="00283215">
      <w:pPr>
        <w:rPr>
          <w:rFonts w:asciiTheme="majorHAnsi" w:hAnsiTheme="majorHAnsi"/>
        </w:rPr>
      </w:pPr>
    </w:p>
    <w:p w14:paraId="72A341EB" w14:textId="39E0D5C7" w:rsidR="00AA2B2B" w:rsidRPr="004858FC" w:rsidRDefault="00AA2B2B" w:rsidP="00EA162D">
      <w:pPr>
        <w:pStyle w:val="Prrafodelista"/>
        <w:numPr>
          <w:ilvl w:val="2"/>
          <w:numId w:val="6"/>
        </w:numPr>
        <w:jc w:val="both"/>
        <w:rPr>
          <w:rFonts w:asciiTheme="majorHAnsi" w:eastAsia="Times New Roman" w:hAnsiTheme="majorHAnsi" w:cs="Segoe UI"/>
        </w:rPr>
      </w:pPr>
      <w:r w:rsidRPr="004858FC">
        <w:rPr>
          <w:rFonts w:asciiTheme="majorHAnsi" w:eastAsia="Times New Roman" w:hAnsiTheme="majorHAnsi" w:cs="Segoe UI"/>
        </w:rPr>
        <w:t xml:space="preserve">Adecuar el marco normativo e institucional </w:t>
      </w:r>
      <w:r w:rsidR="004531B6" w:rsidRPr="004858FC">
        <w:rPr>
          <w:rFonts w:asciiTheme="majorHAnsi" w:eastAsia="Times New Roman" w:hAnsiTheme="majorHAnsi" w:cs="Segoe UI"/>
        </w:rPr>
        <w:t>para realizar la planificación y prestación del servicio de extensión agropecuaria.</w:t>
      </w:r>
    </w:p>
    <w:p w14:paraId="0D295DAA" w14:textId="77777777" w:rsidR="00561479" w:rsidRPr="004858FC" w:rsidRDefault="00561479" w:rsidP="00561479">
      <w:pPr>
        <w:pStyle w:val="Prrafodelista"/>
        <w:rPr>
          <w:rFonts w:asciiTheme="majorHAnsi" w:eastAsia="Times New Roman" w:hAnsiTheme="majorHAnsi" w:cs="Segoe UI"/>
        </w:rPr>
      </w:pPr>
    </w:p>
    <w:p w14:paraId="217E810C" w14:textId="59A56933" w:rsidR="00561479" w:rsidRPr="004858FC" w:rsidRDefault="00561479" w:rsidP="00EA162D">
      <w:pPr>
        <w:pStyle w:val="Prrafodelista"/>
        <w:numPr>
          <w:ilvl w:val="2"/>
          <w:numId w:val="6"/>
        </w:numPr>
        <w:jc w:val="both"/>
        <w:rPr>
          <w:rFonts w:asciiTheme="majorHAnsi" w:eastAsia="Times New Roman" w:hAnsiTheme="majorHAnsi" w:cs="Segoe UI"/>
        </w:rPr>
      </w:pPr>
      <w:r w:rsidRPr="004858FC">
        <w:rPr>
          <w:rFonts w:asciiTheme="majorHAnsi" w:eastAsia="Times New Roman" w:hAnsiTheme="majorHAnsi" w:cs="Segoe UI"/>
        </w:rPr>
        <w:t>Coordinar las acciones para realizar el registro y clasificación de los usuarios de extensión agropecuaria que serán atendidos en el marco de los Planes Departamentales de Extensión Agropecuaria.</w:t>
      </w:r>
    </w:p>
    <w:p w14:paraId="39C1BA38" w14:textId="77777777" w:rsidR="00561479" w:rsidRPr="004858FC" w:rsidRDefault="00561479" w:rsidP="00561479">
      <w:pPr>
        <w:pStyle w:val="Prrafodelista"/>
        <w:rPr>
          <w:rFonts w:asciiTheme="majorHAnsi" w:eastAsia="Times New Roman" w:hAnsiTheme="majorHAnsi" w:cs="Segoe UI"/>
        </w:rPr>
      </w:pPr>
    </w:p>
    <w:p w14:paraId="4D734185" w14:textId="2C4C04CC" w:rsidR="00561479" w:rsidRPr="004858FC" w:rsidRDefault="00561479" w:rsidP="00EA162D">
      <w:pPr>
        <w:pStyle w:val="Prrafodelista"/>
        <w:numPr>
          <w:ilvl w:val="2"/>
          <w:numId w:val="6"/>
        </w:numPr>
        <w:jc w:val="both"/>
        <w:rPr>
          <w:rFonts w:asciiTheme="majorHAnsi" w:eastAsia="Times New Roman" w:hAnsiTheme="majorHAnsi" w:cs="Segoe UI"/>
        </w:rPr>
      </w:pPr>
      <w:r w:rsidRPr="004858FC">
        <w:rPr>
          <w:rFonts w:asciiTheme="majorHAnsi" w:eastAsia="Times New Roman" w:hAnsiTheme="majorHAnsi" w:cs="Segoe UI"/>
        </w:rPr>
        <w:t xml:space="preserve">Articular las acciones de seguimiento y evaluación del servicio de extensión agropecuaria. </w:t>
      </w:r>
    </w:p>
    <w:p w14:paraId="71124AC3" w14:textId="77777777" w:rsidR="002C6585" w:rsidRDefault="002C6585" w:rsidP="00656F00">
      <w:pPr>
        <w:pStyle w:val="Prrafodelista"/>
        <w:spacing w:after="0" w:line="240" w:lineRule="auto"/>
        <w:ind w:left="0"/>
        <w:jc w:val="both"/>
        <w:rPr>
          <w:rFonts w:asciiTheme="majorHAnsi" w:hAnsiTheme="majorHAnsi"/>
          <w:b/>
          <w:lang w:val="es-ES_tradnl"/>
        </w:rPr>
      </w:pPr>
    </w:p>
    <w:p w14:paraId="51DC6D60" w14:textId="77777777" w:rsidR="00911A2C" w:rsidRDefault="00911A2C" w:rsidP="00656F00">
      <w:pPr>
        <w:pStyle w:val="Prrafodelista"/>
        <w:spacing w:after="0" w:line="240" w:lineRule="auto"/>
        <w:ind w:left="0"/>
        <w:jc w:val="both"/>
        <w:rPr>
          <w:rFonts w:asciiTheme="majorHAnsi" w:hAnsiTheme="majorHAnsi"/>
          <w:b/>
          <w:lang w:val="es-ES_tradnl"/>
        </w:rPr>
      </w:pPr>
    </w:p>
    <w:p w14:paraId="105CD44B" w14:textId="77777777" w:rsidR="00911A2C" w:rsidRDefault="00911A2C" w:rsidP="00656F00">
      <w:pPr>
        <w:pStyle w:val="Prrafodelista"/>
        <w:spacing w:after="0" w:line="240" w:lineRule="auto"/>
        <w:ind w:left="0"/>
        <w:jc w:val="both"/>
        <w:rPr>
          <w:rFonts w:asciiTheme="majorHAnsi" w:hAnsiTheme="majorHAnsi"/>
          <w:b/>
          <w:lang w:val="es-ES_tradnl"/>
        </w:rPr>
      </w:pPr>
    </w:p>
    <w:p w14:paraId="5449019C" w14:textId="77777777" w:rsidR="00911A2C" w:rsidRDefault="00911A2C" w:rsidP="00656F00">
      <w:pPr>
        <w:pStyle w:val="Prrafodelista"/>
        <w:spacing w:after="0" w:line="240" w:lineRule="auto"/>
        <w:ind w:left="0"/>
        <w:jc w:val="both"/>
        <w:rPr>
          <w:rFonts w:asciiTheme="majorHAnsi" w:hAnsiTheme="majorHAnsi"/>
          <w:b/>
          <w:lang w:val="es-ES_tradnl"/>
        </w:rPr>
      </w:pPr>
    </w:p>
    <w:p w14:paraId="0FCF98A3" w14:textId="77777777" w:rsidR="00911A2C" w:rsidRDefault="00911A2C" w:rsidP="00656F00">
      <w:pPr>
        <w:pStyle w:val="Prrafodelista"/>
        <w:spacing w:after="0" w:line="240" w:lineRule="auto"/>
        <w:ind w:left="0"/>
        <w:jc w:val="both"/>
        <w:rPr>
          <w:rFonts w:asciiTheme="majorHAnsi" w:hAnsiTheme="majorHAnsi"/>
          <w:b/>
          <w:lang w:val="es-ES_tradnl"/>
        </w:rPr>
      </w:pPr>
    </w:p>
    <w:p w14:paraId="7EF2B168" w14:textId="77777777" w:rsidR="004858FC" w:rsidRDefault="004858FC" w:rsidP="00656F00">
      <w:pPr>
        <w:pStyle w:val="Prrafodelista"/>
        <w:spacing w:after="0" w:line="240" w:lineRule="auto"/>
        <w:ind w:left="0"/>
        <w:jc w:val="both"/>
        <w:rPr>
          <w:rFonts w:asciiTheme="majorHAnsi" w:hAnsiTheme="majorHAnsi"/>
          <w:b/>
          <w:lang w:val="es-ES_tradnl"/>
        </w:rPr>
      </w:pPr>
    </w:p>
    <w:p w14:paraId="3F8CDC77" w14:textId="77777777" w:rsidR="004858FC" w:rsidRDefault="004858FC" w:rsidP="00656F00">
      <w:pPr>
        <w:pStyle w:val="Prrafodelista"/>
        <w:spacing w:after="0" w:line="240" w:lineRule="auto"/>
        <w:ind w:left="0"/>
        <w:jc w:val="both"/>
        <w:rPr>
          <w:rFonts w:asciiTheme="majorHAnsi" w:hAnsiTheme="majorHAnsi"/>
          <w:b/>
          <w:lang w:val="es-ES_tradnl"/>
        </w:rPr>
      </w:pPr>
    </w:p>
    <w:p w14:paraId="19F29A79" w14:textId="77777777" w:rsidR="004858FC" w:rsidRDefault="004858FC" w:rsidP="00656F00">
      <w:pPr>
        <w:pStyle w:val="Prrafodelista"/>
        <w:spacing w:after="0" w:line="240" w:lineRule="auto"/>
        <w:ind w:left="0"/>
        <w:jc w:val="both"/>
        <w:rPr>
          <w:rFonts w:asciiTheme="majorHAnsi" w:hAnsiTheme="majorHAnsi"/>
          <w:b/>
          <w:lang w:val="es-ES_tradnl"/>
        </w:rPr>
      </w:pPr>
    </w:p>
    <w:p w14:paraId="0B1CD440" w14:textId="77777777" w:rsidR="004858FC" w:rsidRDefault="004858FC" w:rsidP="00656F00">
      <w:pPr>
        <w:pStyle w:val="Prrafodelista"/>
        <w:spacing w:after="0" w:line="240" w:lineRule="auto"/>
        <w:ind w:left="0"/>
        <w:jc w:val="both"/>
        <w:rPr>
          <w:rFonts w:asciiTheme="majorHAnsi" w:hAnsiTheme="majorHAnsi"/>
          <w:b/>
          <w:lang w:val="es-ES_tradnl"/>
        </w:rPr>
      </w:pPr>
    </w:p>
    <w:p w14:paraId="52026B71" w14:textId="77777777" w:rsidR="004858FC" w:rsidRDefault="004858FC" w:rsidP="00656F00">
      <w:pPr>
        <w:pStyle w:val="Prrafodelista"/>
        <w:spacing w:after="0" w:line="240" w:lineRule="auto"/>
        <w:ind w:left="0"/>
        <w:jc w:val="both"/>
        <w:rPr>
          <w:rFonts w:asciiTheme="majorHAnsi" w:hAnsiTheme="majorHAnsi"/>
          <w:b/>
          <w:lang w:val="es-ES_tradnl"/>
        </w:rPr>
      </w:pPr>
    </w:p>
    <w:p w14:paraId="477534A3" w14:textId="2CE0FDAD" w:rsidR="00C54FA7" w:rsidRPr="00CA5475" w:rsidRDefault="00A23C60" w:rsidP="00EA162D">
      <w:pPr>
        <w:pStyle w:val="Ttulo1"/>
        <w:numPr>
          <w:ilvl w:val="0"/>
          <w:numId w:val="14"/>
        </w:numPr>
      </w:pPr>
      <w:bookmarkStart w:id="76" w:name="_Toc4680871"/>
      <w:r w:rsidRPr="00CA5475">
        <w:lastRenderedPageBreak/>
        <w:t>Plan de Acción</w:t>
      </w:r>
      <w:bookmarkEnd w:id="76"/>
    </w:p>
    <w:p w14:paraId="76711CF7" w14:textId="77777777" w:rsidR="004F578D" w:rsidRPr="00A73608" w:rsidRDefault="004F578D" w:rsidP="004F578D">
      <w:pPr>
        <w:rPr>
          <w:rFonts w:asciiTheme="majorHAnsi" w:hAnsiTheme="majorHAnsi"/>
        </w:rPr>
      </w:pPr>
    </w:p>
    <w:p w14:paraId="6C712212" w14:textId="40E54E1D" w:rsidR="004F578D" w:rsidRPr="00CA5475" w:rsidRDefault="002C6585" w:rsidP="00EA162D">
      <w:pPr>
        <w:pStyle w:val="Prrafodelista"/>
        <w:numPr>
          <w:ilvl w:val="1"/>
          <w:numId w:val="9"/>
        </w:numPr>
        <w:shd w:val="clear" w:color="auto" w:fill="DEEAF6" w:themeFill="accent5" w:themeFillTint="33"/>
        <w:jc w:val="both"/>
        <w:outlineLvl w:val="1"/>
        <w:rPr>
          <w:rFonts w:asciiTheme="majorHAnsi" w:hAnsiTheme="majorHAnsi" w:cstheme="majorHAnsi"/>
          <w:i/>
        </w:rPr>
      </w:pPr>
      <w:bookmarkStart w:id="77" w:name="_Toc4680872"/>
      <w:r w:rsidRPr="00A73608">
        <w:rPr>
          <w:rFonts w:asciiTheme="majorHAnsi" w:hAnsiTheme="majorHAnsi" w:cstheme="majorHAnsi"/>
          <w:b/>
          <w:i/>
        </w:rPr>
        <w:t>Estrategia 1</w:t>
      </w:r>
      <w:r w:rsidR="004F578D" w:rsidRPr="00A73608">
        <w:rPr>
          <w:rFonts w:asciiTheme="majorHAnsi" w:hAnsiTheme="majorHAnsi" w:cstheme="majorHAnsi"/>
          <w:b/>
          <w:i/>
        </w:rPr>
        <w:t>.</w:t>
      </w:r>
      <w:r w:rsidR="004F578D" w:rsidRPr="00A73608">
        <w:rPr>
          <w:rFonts w:asciiTheme="majorHAnsi" w:hAnsiTheme="majorHAnsi" w:cstheme="majorHAnsi"/>
          <w:i/>
        </w:rPr>
        <w:t xml:space="preserve"> </w:t>
      </w:r>
      <w:r w:rsidR="004858FC">
        <w:rPr>
          <w:rFonts w:asciiTheme="majorHAnsi" w:hAnsiTheme="majorHAnsi" w:cstheme="majorHAnsi"/>
          <w:b/>
          <w:i/>
        </w:rPr>
        <w:t>Alistamiento Institucional</w:t>
      </w:r>
      <w:bookmarkEnd w:id="77"/>
    </w:p>
    <w:p w14:paraId="4B34ED92" w14:textId="6B3C5F6D" w:rsidR="00CF3409" w:rsidRPr="00CA5475" w:rsidRDefault="002C6585" w:rsidP="00CF3409">
      <w:pPr>
        <w:pStyle w:val="Sinespaciado"/>
        <w:ind w:left="360"/>
        <w:jc w:val="both"/>
        <w:outlineLvl w:val="2"/>
        <w:rPr>
          <w:rFonts w:asciiTheme="majorHAnsi" w:hAnsiTheme="majorHAnsi" w:cstheme="majorHAnsi"/>
          <w:i/>
        </w:rPr>
      </w:pPr>
      <w:bookmarkStart w:id="78" w:name="_Toc4680873"/>
      <w:r w:rsidRPr="00CA5475">
        <w:rPr>
          <w:rFonts w:asciiTheme="majorHAnsi" w:hAnsiTheme="majorHAnsi" w:cstheme="majorHAnsi"/>
          <w:b/>
          <w:i/>
        </w:rPr>
        <w:t>Acción 1</w:t>
      </w:r>
      <w:r w:rsidR="00CF3409" w:rsidRPr="00CA5475">
        <w:rPr>
          <w:rFonts w:asciiTheme="majorHAnsi" w:hAnsiTheme="majorHAnsi" w:cstheme="majorHAnsi"/>
          <w:b/>
          <w:i/>
        </w:rPr>
        <w:t xml:space="preserve">.1 </w:t>
      </w:r>
      <w:r w:rsidR="004858FC">
        <w:rPr>
          <w:rFonts w:asciiTheme="majorHAnsi" w:hAnsiTheme="majorHAnsi" w:cstheme="majorHAnsi"/>
          <w:i/>
        </w:rPr>
        <w:t>Expedición del marco regulatorio del SNIA</w:t>
      </w:r>
      <w:bookmarkEnd w:id="78"/>
    </w:p>
    <w:p w14:paraId="488ADC92" w14:textId="77777777" w:rsidR="00B908CA" w:rsidRPr="00CA5475" w:rsidRDefault="00B908CA" w:rsidP="00BF7A19">
      <w:pPr>
        <w:pStyle w:val="Sinespaciado"/>
        <w:jc w:val="both"/>
        <w:rPr>
          <w:rFonts w:asciiTheme="majorHAnsi" w:hAnsiTheme="majorHAnsi" w:cstheme="majorHAnsi"/>
          <w:i/>
        </w:rPr>
      </w:pPr>
    </w:p>
    <w:p w14:paraId="2CB879C3" w14:textId="4ADFC931" w:rsidR="00C71ACB" w:rsidRDefault="00E01080" w:rsidP="00C71ACB">
      <w:pPr>
        <w:pStyle w:val="Sinespaciado"/>
        <w:jc w:val="both"/>
        <w:rPr>
          <w:rFonts w:asciiTheme="majorHAnsi" w:hAnsiTheme="majorHAnsi" w:cstheme="majorHAnsi"/>
        </w:rPr>
      </w:pPr>
      <w:r w:rsidRPr="002E7BCF">
        <w:rPr>
          <w:rFonts w:asciiTheme="majorHAnsi" w:hAnsiTheme="majorHAnsi" w:cstheme="majorHAnsi"/>
        </w:rPr>
        <w:t xml:space="preserve">El 29 de diciembre de 2017 fue sancionada la Ley 1876 “Por la cual se crea el Sistema Nacional de Innovación Agropecuaria y </w:t>
      </w:r>
      <w:r w:rsidR="009B138D">
        <w:rPr>
          <w:rFonts w:asciiTheme="majorHAnsi" w:hAnsiTheme="majorHAnsi" w:cstheme="majorHAnsi"/>
        </w:rPr>
        <w:t xml:space="preserve">se dictan otras disposiciones”, la cual debe ser reglamentada por el MADR y demás entidades con la competencia asignada por la Ley. En ese sentido, el MADR avanzó en el 2018 con la expedición de la </w:t>
      </w:r>
      <w:r w:rsidR="00C71ACB" w:rsidRPr="003D0C44">
        <w:rPr>
          <w:rFonts w:asciiTheme="majorHAnsi" w:hAnsiTheme="majorHAnsi" w:cstheme="majorHAnsi"/>
          <w:b/>
        </w:rPr>
        <w:t xml:space="preserve">Resolución 407 del 30 de octubre de 2018, </w:t>
      </w:r>
      <w:r w:rsidR="00C71ACB" w:rsidRPr="003D0C44">
        <w:rPr>
          <w:rFonts w:asciiTheme="majorHAnsi" w:hAnsiTheme="majorHAnsi" w:cstheme="majorHAnsi"/>
          <w:b/>
          <w:i/>
        </w:rPr>
        <w:t>“Por la cual se reglamentan las materias técnicas del SNIA”</w:t>
      </w:r>
      <w:r w:rsidR="00C71ACB" w:rsidRPr="00C71ACB">
        <w:rPr>
          <w:rFonts w:asciiTheme="majorHAnsi" w:hAnsiTheme="majorHAnsi" w:cstheme="majorHAnsi"/>
        </w:rPr>
        <w:t>, la cual aborda los siguientes temas:</w:t>
      </w:r>
    </w:p>
    <w:p w14:paraId="404934CE" w14:textId="77777777" w:rsidR="00C71ACB" w:rsidRDefault="00C71ACB" w:rsidP="00C71ACB">
      <w:pPr>
        <w:pStyle w:val="Sinespaciado"/>
        <w:jc w:val="both"/>
        <w:rPr>
          <w:rFonts w:asciiTheme="majorHAnsi" w:hAnsiTheme="majorHAnsi" w:cstheme="majorHAnsi"/>
        </w:rPr>
      </w:pPr>
    </w:p>
    <w:p w14:paraId="2897AF5E" w14:textId="77777777" w:rsidR="00A93C8D" w:rsidRDefault="00A93C8D" w:rsidP="00C71ACB">
      <w:pPr>
        <w:pStyle w:val="Sinespaciado"/>
        <w:jc w:val="both"/>
        <w:rPr>
          <w:rFonts w:asciiTheme="majorHAnsi" w:hAnsiTheme="majorHAnsi" w:cstheme="majorHAnsi"/>
        </w:rPr>
      </w:pPr>
    </w:p>
    <w:p w14:paraId="53EEA369" w14:textId="63483E26" w:rsidR="000473B9" w:rsidRPr="000473B9" w:rsidRDefault="000473B9" w:rsidP="000473B9">
      <w:pPr>
        <w:pStyle w:val="Sinespaciado"/>
        <w:jc w:val="center"/>
        <w:rPr>
          <w:rFonts w:asciiTheme="majorHAnsi" w:hAnsiTheme="majorHAnsi" w:cstheme="majorHAnsi"/>
          <w:b/>
        </w:rPr>
      </w:pPr>
      <w:r>
        <w:rPr>
          <w:rFonts w:asciiTheme="majorHAnsi" w:hAnsiTheme="majorHAnsi" w:cstheme="majorHAnsi"/>
          <w:b/>
        </w:rPr>
        <w:t xml:space="preserve">Tabla 5. </w:t>
      </w:r>
      <w:r w:rsidRPr="001923FB">
        <w:rPr>
          <w:rFonts w:asciiTheme="majorHAnsi" w:hAnsiTheme="majorHAnsi" w:cstheme="majorHAnsi"/>
        </w:rPr>
        <w:t>Temas reglamentados por la Resolución 407 de 2018</w:t>
      </w:r>
    </w:p>
    <w:tbl>
      <w:tblPr>
        <w:tblStyle w:val="Tabladecuadrcula1clara-nfasis1"/>
        <w:tblW w:w="8830" w:type="dxa"/>
        <w:tblLook w:val="0420" w:firstRow="1" w:lastRow="0" w:firstColumn="0" w:lastColumn="0" w:noHBand="0" w:noVBand="1"/>
      </w:tblPr>
      <w:tblGrid>
        <w:gridCol w:w="2418"/>
        <w:gridCol w:w="6412"/>
      </w:tblGrid>
      <w:tr w:rsidR="00C71ACB" w:rsidRPr="00A93C8D" w14:paraId="673CDCB0" w14:textId="77777777" w:rsidTr="0083487D">
        <w:trPr>
          <w:cnfStyle w:val="100000000000" w:firstRow="1" w:lastRow="0" w:firstColumn="0" w:lastColumn="0" w:oddVBand="0" w:evenVBand="0" w:oddHBand="0" w:evenHBand="0" w:firstRowFirstColumn="0" w:firstRowLastColumn="0" w:lastRowFirstColumn="0" w:lastRowLastColumn="0"/>
          <w:trHeight w:val="20"/>
        </w:trPr>
        <w:tc>
          <w:tcPr>
            <w:tcW w:w="2418" w:type="dxa"/>
            <w:vAlign w:val="center"/>
          </w:tcPr>
          <w:p w14:paraId="6D856680" w14:textId="40331AF9" w:rsidR="00C71ACB" w:rsidRPr="00A93C8D" w:rsidRDefault="00C71ACB" w:rsidP="00C71ACB">
            <w:pPr>
              <w:pStyle w:val="Sinespaciado"/>
              <w:jc w:val="center"/>
              <w:rPr>
                <w:rFonts w:asciiTheme="majorHAnsi" w:hAnsiTheme="majorHAnsi" w:cstheme="majorHAnsi"/>
                <w:sz w:val="18"/>
              </w:rPr>
            </w:pPr>
            <w:r w:rsidRPr="00A93C8D">
              <w:rPr>
                <w:rFonts w:asciiTheme="majorHAnsi" w:hAnsiTheme="majorHAnsi" w:cstheme="majorHAnsi"/>
                <w:sz w:val="18"/>
              </w:rPr>
              <w:t>Artículos reglamentados Ley 1876/2017</w:t>
            </w:r>
          </w:p>
        </w:tc>
        <w:tc>
          <w:tcPr>
            <w:tcW w:w="6412" w:type="dxa"/>
            <w:vAlign w:val="center"/>
          </w:tcPr>
          <w:p w14:paraId="1F806E6D" w14:textId="604C632C" w:rsidR="00C71ACB" w:rsidRPr="00A93C8D" w:rsidRDefault="00C71ACB" w:rsidP="00C71ACB">
            <w:pPr>
              <w:pStyle w:val="Sinespaciado"/>
              <w:jc w:val="center"/>
              <w:rPr>
                <w:rFonts w:asciiTheme="majorHAnsi" w:hAnsiTheme="majorHAnsi" w:cstheme="majorHAnsi"/>
                <w:sz w:val="18"/>
              </w:rPr>
            </w:pPr>
            <w:r w:rsidRPr="00A93C8D">
              <w:rPr>
                <w:rFonts w:asciiTheme="majorHAnsi" w:hAnsiTheme="majorHAnsi" w:cstheme="majorHAnsi"/>
                <w:sz w:val="18"/>
              </w:rPr>
              <w:t>Tema</w:t>
            </w:r>
          </w:p>
        </w:tc>
      </w:tr>
      <w:tr w:rsidR="00C71ACB" w:rsidRPr="00A93C8D" w14:paraId="6DBB33B0" w14:textId="77777777" w:rsidTr="0083487D">
        <w:trPr>
          <w:trHeight w:val="20"/>
        </w:trPr>
        <w:tc>
          <w:tcPr>
            <w:tcW w:w="2418" w:type="dxa"/>
            <w:vAlign w:val="center"/>
          </w:tcPr>
          <w:p w14:paraId="4BDDCF01" w14:textId="6D9886ED" w:rsidR="00C71ACB" w:rsidRPr="00A93C8D" w:rsidRDefault="00A93C8D" w:rsidP="00A024EC">
            <w:pPr>
              <w:pStyle w:val="Sinespaciado"/>
              <w:jc w:val="center"/>
              <w:rPr>
                <w:rFonts w:asciiTheme="majorHAnsi" w:hAnsiTheme="majorHAnsi" w:cstheme="majorHAnsi"/>
                <w:sz w:val="18"/>
              </w:rPr>
            </w:pPr>
            <w:r w:rsidRPr="00A93C8D">
              <w:rPr>
                <w:rFonts w:asciiTheme="majorHAnsi" w:hAnsiTheme="majorHAnsi" w:cstheme="majorHAnsi"/>
                <w:sz w:val="18"/>
              </w:rPr>
              <w:t>Artículo 9, n</w:t>
            </w:r>
            <w:r w:rsidR="00C71ACB" w:rsidRPr="00A93C8D">
              <w:rPr>
                <w:rFonts w:asciiTheme="majorHAnsi" w:hAnsiTheme="majorHAnsi" w:cstheme="majorHAnsi"/>
                <w:sz w:val="18"/>
              </w:rPr>
              <w:t xml:space="preserve">umerales 12-15 </w:t>
            </w:r>
          </w:p>
        </w:tc>
        <w:tc>
          <w:tcPr>
            <w:tcW w:w="6412" w:type="dxa"/>
            <w:vAlign w:val="center"/>
          </w:tcPr>
          <w:p w14:paraId="24EB3477" w14:textId="7FBFD655" w:rsidR="00C71ACB" w:rsidRPr="00A93C8D" w:rsidRDefault="00C71ACB" w:rsidP="00C71ACB">
            <w:pPr>
              <w:pStyle w:val="Sinespaciado"/>
              <w:jc w:val="both"/>
              <w:rPr>
                <w:rFonts w:asciiTheme="majorHAnsi" w:hAnsiTheme="majorHAnsi" w:cstheme="majorHAnsi"/>
                <w:sz w:val="18"/>
              </w:rPr>
            </w:pPr>
            <w:r w:rsidRPr="00A93C8D">
              <w:rPr>
                <w:rFonts w:asciiTheme="majorHAnsi" w:hAnsiTheme="majorHAnsi" w:cstheme="majorHAnsi"/>
                <w:sz w:val="18"/>
              </w:rPr>
              <w:t>Procedimiento de elección de los representantes al Consejo Superior</w:t>
            </w:r>
          </w:p>
        </w:tc>
      </w:tr>
      <w:tr w:rsidR="00A93C8D" w:rsidRPr="00A93C8D" w14:paraId="213236E6" w14:textId="77777777" w:rsidTr="0083487D">
        <w:trPr>
          <w:trHeight w:val="20"/>
        </w:trPr>
        <w:tc>
          <w:tcPr>
            <w:tcW w:w="2418" w:type="dxa"/>
            <w:vAlign w:val="center"/>
          </w:tcPr>
          <w:p w14:paraId="1566BF5F" w14:textId="64BDA0D9" w:rsidR="00A93C8D" w:rsidRPr="00A93C8D" w:rsidRDefault="00A93C8D" w:rsidP="00A93C8D">
            <w:pPr>
              <w:pStyle w:val="Sinespaciado"/>
              <w:jc w:val="center"/>
              <w:rPr>
                <w:rFonts w:asciiTheme="majorHAnsi" w:hAnsiTheme="majorHAnsi" w:cstheme="majorHAnsi"/>
                <w:sz w:val="18"/>
              </w:rPr>
            </w:pPr>
            <w:r w:rsidRPr="00A93C8D">
              <w:rPr>
                <w:rFonts w:asciiTheme="majorHAnsi" w:hAnsiTheme="majorHAnsi" w:cstheme="majorHAnsi"/>
                <w:sz w:val="18"/>
              </w:rPr>
              <w:t>Artículo 11</w:t>
            </w:r>
          </w:p>
        </w:tc>
        <w:tc>
          <w:tcPr>
            <w:tcW w:w="6412" w:type="dxa"/>
            <w:vAlign w:val="center"/>
          </w:tcPr>
          <w:p w14:paraId="21C86E0A" w14:textId="59D09838" w:rsidR="00A93C8D" w:rsidRPr="00A93C8D" w:rsidRDefault="00A93C8D" w:rsidP="00A93C8D">
            <w:pPr>
              <w:pStyle w:val="Sinespaciado"/>
              <w:jc w:val="both"/>
              <w:rPr>
                <w:rFonts w:asciiTheme="majorHAnsi" w:hAnsiTheme="majorHAnsi" w:cstheme="majorHAnsi"/>
                <w:sz w:val="18"/>
              </w:rPr>
            </w:pPr>
            <w:r w:rsidRPr="00A93C8D">
              <w:rPr>
                <w:rFonts w:asciiTheme="majorHAnsi" w:hAnsiTheme="majorHAnsi" w:cstheme="majorHAnsi"/>
                <w:sz w:val="18"/>
              </w:rPr>
              <w:t>Actualización del Plan Estratégico de Ciencia, Tecnología e Innovación Agropecuaria – PECTIA</w:t>
            </w:r>
          </w:p>
        </w:tc>
      </w:tr>
      <w:tr w:rsidR="00A93C8D" w:rsidRPr="00A93C8D" w14:paraId="0584AAB7" w14:textId="77777777" w:rsidTr="0083487D">
        <w:trPr>
          <w:trHeight w:val="20"/>
        </w:trPr>
        <w:tc>
          <w:tcPr>
            <w:tcW w:w="2418" w:type="dxa"/>
            <w:vAlign w:val="center"/>
          </w:tcPr>
          <w:p w14:paraId="3D338E75" w14:textId="2D9659D5" w:rsidR="00A93C8D" w:rsidRPr="00A93C8D" w:rsidRDefault="00A93C8D" w:rsidP="00A93C8D">
            <w:pPr>
              <w:pStyle w:val="Sinespaciado"/>
              <w:jc w:val="center"/>
              <w:rPr>
                <w:rFonts w:asciiTheme="majorHAnsi" w:hAnsiTheme="majorHAnsi" w:cstheme="majorHAnsi"/>
                <w:sz w:val="18"/>
              </w:rPr>
            </w:pPr>
            <w:r w:rsidRPr="00A93C8D">
              <w:rPr>
                <w:rFonts w:asciiTheme="majorHAnsi" w:hAnsiTheme="majorHAnsi" w:cstheme="majorHAnsi"/>
                <w:sz w:val="18"/>
              </w:rPr>
              <w:t>Articulo 29</w:t>
            </w:r>
          </w:p>
        </w:tc>
        <w:tc>
          <w:tcPr>
            <w:tcW w:w="6412" w:type="dxa"/>
            <w:vAlign w:val="center"/>
          </w:tcPr>
          <w:p w14:paraId="7DECEE73" w14:textId="7C0117F7" w:rsidR="00A93C8D" w:rsidRPr="00A93C8D" w:rsidRDefault="00A93C8D" w:rsidP="00A93C8D">
            <w:pPr>
              <w:pStyle w:val="Sinespaciado"/>
              <w:jc w:val="both"/>
              <w:rPr>
                <w:rFonts w:asciiTheme="majorHAnsi" w:hAnsiTheme="majorHAnsi" w:cstheme="majorHAnsi"/>
                <w:sz w:val="18"/>
              </w:rPr>
            </w:pPr>
            <w:r w:rsidRPr="00A93C8D">
              <w:rPr>
                <w:rFonts w:asciiTheme="majorHAnsi" w:hAnsiTheme="majorHAnsi" w:cstheme="majorHAnsi"/>
                <w:sz w:val="18"/>
              </w:rPr>
              <w:t>Lineamientos para la formulación de los Planes Departamentales de Extensión Agropecuaria (PDEA)</w:t>
            </w:r>
          </w:p>
        </w:tc>
      </w:tr>
      <w:tr w:rsidR="00A93C8D" w:rsidRPr="00A93C8D" w14:paraId="4BA295A9" w14:textId="77777777" w:rsidTr="0083487D">
        <w:trPr>
          <w:trHeight w:val="20"/>
        </w:trPr>
        <w:tc>
          <w:tcPr>
            <w:tcW w:w="2418" w:type="dxa"/>
            <w:vAlign w:val="center"/>
          </w:tcPr>
          <w:p w14:paraId="24181D6A" w14:textId="7B93EBB6" w:rsidR="00A93C8D" w:rsidRPr="00A93C8D" w:rsidRDefault="00A93C8D" w:rsidP="00A93C8D">
            <w:pPr>
              <w:pStyle w:val="Sinespaciado"/>
              <w:jc w:val="center"/>
              <w:rPr>
                <w:rFonts w:asciiTheme="majorHAnsi" w:hAnsiTheme="majorHAnsi" w:cstheme="majorHAnsi"/>
                <w:sz w:val="18"/>
              </w:rPr>
            </w:pPr>
            <w:r w:rsidRPr="00A93C8D">
              <w:rPr>
                <w:rFonts w:asciiTheme="majorHAnsi" w:hAnsiTheme="majorHAnsi" w:cstheme="majorHAnsi"/>
                <w:sz w:val="18"/>
              </w:rPr>
              <w:t>Artículo 31</w:t>
            </w:r>
          </w:p>
        </w:tc>
        <w:tc>
          <w:tcPr>
            <w:tcW w:w="6412" w:type="dxa"/>
            <w:vAlign w:val="center"/>
          </w:tcPr>
          <w:p w14:paraId="41BAD84E" w14:textId="74C69C1A" w:rsidR="00A93C8D" w:rsidRPr="00A93C8D" w:rsidRDefault="00A93C8D" w:rsidP="00A93C8D">
            <w:pPr>
              <w:pStyle w:val="Sinespaciado"/>
              <w:jc w:val="both"/>
              <w:rPr>
                <w:rFonts w:asciiTheme="majorHAnsi" w:hAnsiTheme="majorHAnsi" w:cstheme="majorHAnsi"/>
                <w:sz w:val="18"/>
              </w:rPr>
            </w:pPr>
            <w:r w:rsidRPr="00A93C8D">
              <w:rPr>
                <w:rFonts w:asciiTheme="majorHAnsi" w:hAnsiTheme="majorHAnsi" w:cstheme="majorHAnsi"/>
                <w:sz w:val="18"/>
              </w:rPr>
              <w:t>Registro y Clasificación de usuarios del servicio público de extensión agropecuaria</w:t>
            </w:r>
          </w:p>
        </w:tc>
      </w:tr>
    </w:tbl>
    <w:p w14:paraId="537B8ED0" w14:textId="77777777" w:rsidR="00C71ACB" w:rsidRPr="00C71ACB" w:rsidRDefault="00C71ACB" w:rsidP="00C71ACB">
      <w:pPr>
        <w:pStyle w:val="Sinespaciado"/>
        <w:jc w:val="both"/>
        <w:rPr>
          <w:rFonts w:asciiTheme="majorHAnsi" w:hAnsiTheme="majorHAnsi" w:cstheme="majorHAnsi"/>
        </w:rPr>
      </w:pPr>
    </w:p>
    <w:p w14:paraId="11559637" w14:textId="3C6B2013" w:rsidR="00C71ACB" w:rsidRDefault="001B4FD8" w:rsidP="00C71ACB">
      <w:pPr>
        <w:pStyle w:val="Sinespaciado"/>
        <w:jc w:val="both"/>
        <w:rPr>
          <w:rFonts w:asciiTheme="majorHAnsi" w:hAnsiTheme="majorHAnsi" w:cstheme="majorHAnsi"/>
        </w:rPr>
      </w:pPr>
      <w:r>
        <w:rPr>
          <w:rFonts w:asciiTheme="majorHAnsi" w:hAnsiTheme="majorHAnsi" w:cstheme="majorHAnsi"/>
        </w:rPr>
        <w:t>Los temas proyectados a reglamentar e implementar son:</w:t>
      </w:r>
    </w:p>
    <w:p w14:paraId="0B92DED8" w14:textId="77777777" w:rsidR="00877FEA" w:rsidRDefault="00877FEA" w:rsidP="00C71ACB">
      <w:pPr>
        <w:pStyle w:val="Sinespaciado"/>
        <w:jc w:val="both"/>
        <w:rPr>
          <w:rFonts w:asciiTheme="majorHAnsi" w:hAnsiTheme="majorHAnsi" w:cstheme="majorHAnsi"/>
        </w:rPr>
      </w:pPr>
    </w:p>
    <w:p w14:paraId="0EE730A9" w14:textId="540CD6A2" w:rsidR="001218D6" w:rsidRPr="00877FEA" w:rsidRDefault="001923FB" w:rsidP="001923FB">
      <w:pPr>
        <w:pStyle w:val="Sinespaciado"/>
        <w:jc w:val="center"/>
        <w:rPr>
          <w:rFonts w:asciiTheme="majorHAnsi" w:hAnsiTheme="majorHAnsi" w:cstheme="majorHAnsi"/>
        </w:rPr>
      </w:pPr>
      <w:r>
        <w:rPr>
          <w:rFonts w:asciiTheme="majorHAnsi" w:hAnsiTheme="majorHAnsi" w:cstheme="majorHAnsi"/>
          <w:b/>
        </w:rPr>
        <w:t xml:space="preserve">Tabla 6. </w:t>
      </w:r>
      <w:r w:rsidR="00877FEA">
        <w:rPr>
          <w:rFonts w:asciiTheme="majorHAnsi" w:hAnsiTheme="majorHAnsi" w:cstheme="majorHAnsi"/>
        </w:rPr>
        <w:t>Temas proyectados a reglamentar</w:t>
      </w:r>
    </w:p>
    <w:tbl>
      <w:tblPr>
        <w:tblStyle w:val="Tabladecuadrcula1clara-nfasis11"/>
        <w:tblW w:w="0" w:type="auto"/>
        <w:tblLook w:val="0420" w:firstRow="1" w:lastRow="0" w:firstColumn="0" w:lastColumn="0" w:noHBand="0" w:noVBand="1"/>
      </w:tblPr>
      <w:tblGrid>
        <w:gridCol w:w="1555"/>
        <w:gridCol w:w="1162"/>
        <w:gridCol w:w="6111"/>
      </w:tblGrid>
      <w:tr w:rsidR="001923FB" w:rsidRPr="00A93C8D" w14:paraId="4D7B70B5" w14:textId="77777777" w:rsidTr="0083487D">
        <w:trPr>
          <w:cnfStyle w:val="100000000000" w:firstRow="1" w:lastRow="0" w:firstColumn="0" w:lastColumn="0" w:oddVBand="0" w:evenVBand="0" w:oddHBand="0" w:evenHBand="0" w:firstRowFirstColumn="0" w:firstRowLastColumn="0" w:lastRowFirstColumn="0" w:lastRowLastColumn="0"/>
          <w:trHeight w:val="20"/>
        </w:trPr>
        <w:tc>
          <w:tcPr>
            <w:tcW w:w="1555" w:type="dxa"/>
            <w:vAlign w:val="center"/>
          </w:tcPr>
          <w:p w14:paraId="558BFDFD" w14:textId="2C3B8BA4" w:rsidR="001923FB" w:rsidRPr="00A93C8D" w:rsidRDefault="001923FB" w:rsidP="001923FB">
            <w:pPr>
              <w:pStyle w:val="Sinespaciado"/>
              <w:jc w:val="center"/>
              <w:rPr>
                <w:rFonts w:asciiTheme="majorHAnsi" w:hAnsiTheme="majorHAnsi" w:cstheme="majorHAnsi"/>
                <w:sz w:val="18"/>
              </w:rPr>
            </w:pPr>
            <w:r w:rsidRPr="00A93C8D">
              <w:rPr>
                <w:rFonts w:asciiTheme="majorHAnsi" w:hAnsiTheme="majorHAnsi" w:cstheme="majorHAnsi"/>
                <w:sz w:val="18"/>
              </w:rPr>
              <w:t xml:space="preserve">Artículos </w:t>
            </w:r>
            <w:r>
              <w:rPr>
                <w:rFonts w:asciiTheme="majorHAnsi" w:hAnsiTheme="majorHAnsi" w:cstheme="majorHAnsi"/>
                <w:sz w:val="18"/>
              </w:rPr>
              <w:t>proyectados para reglamentar</w:t>
            </w:r>
          </w:p>
        </w:tc>
        <w:tc>
          <w:tcPr>
            <w:tcW w:w="1162" w:type="dxa"/>
            <w:vAlign w:val="center"/>
          </w:tcPr>
          <w:p w14:paraId="4C239413" w14:textId="73545AFB" w:rsidR="001923FB" w:rsidRPr="001923FB" w:rsidRDefault="001923FB" w:rsidP="001923FB">
            <w:pPr>
              <w:pStyle w:val="Sinespaciado"/>
              <w:jc w:val="center"/>
              <w:rPr>
                <w:rFonts w:asciiTheme="majorHAnsi" w:hAnsiTheme="majorHAnsi" w:cstheme="majorHAnsi"/>
                <w:sz w:val="18"/>
              </w:rPr>
            </w:pPr>
            <w:r>
              <w:rPr>
                <w:rFonts w:asciiTheme="majorHAnsi" w:hAnsiTheme="majorHAnsi" w:cstheme="majorHAnsi"/>
                <w:sz w:val="18"/>
              </w:rPr>
              <w:t>Entidad responsable</w:t>
            </w:r>
          </w:p>
        </w:tc>
        <w:tc>
          <w:tcPr>
            <w:tcW w:w="0" w:type="auto"/>
            <w:vAlign w:val="center"/>
          </w:tcPr>
          <w:p w14:paraId="769BAE52" w14:textId="5ACED739" w:rsidR="001923FB" w:rsidRPr="00A93C8D" w:rsidRDefault="001923FB" w:rsidP="008818D6">
            <w:pPr>
              <w:pStyle w:val="Sinespaciado"/>
              <w:jc w:val="center"/>
              <w:rPr>
                <w:rFonts w:asciiTheme="majorHAnsi" w:hAnsiTheme="majorHAnsi" w:cstheme="majorHAnsi"/>
                <w:sz w:val="18"/>
              </w:rPr>
            </w:pPr>
            <w:r w:rsidRPr="00A93C8D">
              <w:rPr>
                <w:rFonts w:asciiTheme="majorHAnsi" w:hAnsiTheme="majorHAnsi" w:cstheme="majorHAnsi"/>
                <w:sz w:val="18"/>
              </w:rPr>
              <w:t>Tema</w:t>
            </w:r>
          </w:p>
        </w:tc>
      </w:tr>
      <w:tr w:rsidR="001923FB" w:rsidRPr="00A93C8D" w14:paraId="0965AC17" w14:textId="77777777" w:rsidTr="0083487D">
        <w:trPr>
          <w:trHeight w:val="20"/>
        </w:trPr>
        <w:tc>
          <w:tcPr>
            <w:tcW w:w="1555" w:type="dxa"/>
            <w:vAlign w:val="center"/>
          </w:tcPr>
          <w:p w14:paraId="139F9F68" w14:textId="0EE43B1C" w:rsidR="001923FB" w:rsidRPr="00A93C8D" w:rsidRDefault="001923FB" w:rsidP="008818D6">
            <w:pPr>
              <w:pStyle w:val="Sinespaciado"/>
              <w:jc w:val="center"/>
              <w:rPr>
                <w:rFonts w:asciiTheme="majorHAnsi" w:hAnsiTheme="majorHAnsi" w:cstheme="majorHAnsi"/>
                <w:sz w:val="18"/>
              </w:rPr>
            </w:pPr>
            <w:r>
              <w:rPr>
                <w:rFonts w:asciiTheme="majorHAnsi" w:hAnsiTheme="majorHAnsi" w:cstheme="majorHAnsi"/>
                <w:sz w:val="18"/>
              </w:rPr>
              <w:t>Artículo 28</w:t>
            </w:r>
          </w:p>
        </w:tc>
        <w:tc>
          <w:tcPr>
            <w:tcW w:w="1162" w:type="dxa"/>
            <w:vAlign w:val="center"/>
          </w:tcPr>
          <w:p w14:paraId="3FAF63D6" w14:textId="3A95E7A7" w:rsidR="001923FB" w:rsidRPr="001923FB" w:rsidRDefault="001923FB" w:rsidP="0083487D">
            <w:pPr>
              <w:pStyle w:val="Sinespaciado"/>
              <w:jc w:val="center"/>
              <w:rPr>
                <w:rFonts w:asciiTheme="majorHAnsi" w:hAnsiTheme="majorHAnsi" w:cstheme="majorHAnsi"/>
                <w:sz w:val="18"/>
              </w:rPr>
            </w:pPr>
            <w:r>
              <w:rPr>
                <w:rFonts w:asciiTheme="majorHAnsi" w:hAnsiTheme="majorHAnsi" w:cstheme="majorHAnsi"/>
                <w:sz w:val="18"/>
              </w:rPr>
              <w:t>MADR</w:t>
            </w:r>
          </w:p>
        </w:tc>
        <w:tc>
          <w:tcPr>
            <w:tcW w:w="0" w:type="auto"/>
            <w:vAlign w:val="center"/>
          </w:tcPr>
          <w:p w14:paraId="6DB30F7A" w14:textId="0BF48C19" w:rsidR="001923FB" w:rsidRPr="00A93C8D" w:rsidRDefault="001923FB" w:rsidP="008818D6">
            <w:pPr>
              <w:pStyle w:val="Sinespaciado"/>
              <w:jc w:val="both"/>
              <w:rPr>
                <w:rFonts w:asciiTheme="majorHAnsi" w:hAnsiTheme="majorHAnsi" w:cstheme="majorHAnsi"/>
                <w:sz w:val="18"/>
              </w:rPr>
            </w:pPr>
            <w:r w:rsidRPr="001923FB">
              <w:rPr>
                <w:rFonts w:asciiTheme="majorHAnsi" w:hAnsiTheme="majorHAnsi" w:cstheme="majorHAnsi"/>
                <w:sz w:val="18"/>
              </w:rPr>
              <w:t>Lineamientos para la definición de tasas, tarifa y subsidio a la prestación del servicio de extensión agropecuaria</w:t>
            </w:r>
          </w:p>
        </w:tc>
      </w:tr>
      <w:tr w:rsidR="001923FB" w:rsidRPr="00A93C8D" w14:paraId="1DFA7557" w14:textId="77777777" w:rsidTr="0083487D">
        <w:trPr>
          <w:trHeight w:val="20"/>
        </w:trPr>
        <w:tc>
          <w:tcPr>
            <w:tcW w:w="1555" w:type="dxa"/>
            <w:vAlign w:val="center"/>
          </w:tcPr>
          <w:p w14:paraId="1C87B012" w14:textId="74F2EB5C" w:rsidR="001923FB" w:rsidRPr="00A93C8D" w:rsidRDefault="001923FB" w:rsidP="008818D6">
            <w:pPr>
              <w:pStyle w:val="Sinespaciado"/>
              <w:jc w:val="center"/>
              <w:rPr>
                <w:rFonts w:asciiTheme="majorHAnsi" w:hAnsiTheme="majorHAnsi" w:cstheme="majorHAnsi"/>
                <w:sz w:val="18"/>
              </w:rPr>
            </w:pPr>
            <w:r>
              <w:rPr>
                <w:rFonts w:asciiTheme="majorHAnsi" w:hAnsiTheme="majorHAnsi" w:cstheme="majorHAnsi"/>
                <w:sz w:val="18"/>
              </w:rPr>
              <w:t>Artículo 33</w:t>
            </w:r>
          </w:p>
        </w:tc>
        <w:tc>
          <w:tcPr>
            <w:tcW w:w="1162" w:type="dxa"/>
            <w:vAlign w:val="center"/>
          </w:tcPr>
          <w:p w14:paraId="0147471B" w14:textId="77777777" w:rsidR="001923FB" w:rsidRPr="00A93C8D" w:rsidRDefault="001923FB" w:rsidP="008818D6">
            <w:pPr>
              <w:pStyle w:val="Sinespaciado"/>
              <w:jc w:val="both"/>
              <w:rPr>
                <w:rFonts w:asciiTheme="majorHAnsi" w:hAnsiTheme="majorHAnsi" w:cstheme="majorHAnsi"/>
                <w:sz w:val="18"/>
              </w:rPr>
            </w:pPr>
          </w:p>
        </w:tc>
        <w:tc>
          <w:tcPr>
            <w:tcW w:w="0" w:type="auto"/>
            <w:vAlign w:val="center"/>
          </w:tcPr>
          <w:p w14:paraId="1C7A617B" w14:textId="3622ED35" w:rsidR="001923FB" w:rsidRPr="00A93C8D" w:rsidRDefault="001923FB" w:rsidP="008818D6">
            <w:pPr>
              <w:pStyle w:val="Sinespaciado"/>
              <w:jc w:val="both"/>
              <w:rPr>
                <w:rFonts w:asciiTheme="majorHAnsi" w:hAnsiTheme="majorHAnsi" w:cstheme="majorHAnsi"/>
                <w:sz w:val="18"/>
              </w:rPr>
            </w:pPr>
            <w:r w:rsidRPr="001923FB">
              <w:rPr>
                <w:rFonts w:asciiTheme="majorHAnsi" w:hAnsiTheme="majorHAnsi" w:cstheme="majorHAnsi"/>
                <w:sz w:val="18"/>
              </w:rPr>
              <w:t>Habilitación de las Entidades Prestadoras del Servicio de Extensión Agropecuaria (EPSEA)</w:t>
            </w:r>
          </w:p>
        </w:tc>
      </w:tr>
    </w:tbl>
    <w:p w14:paraId="1A7F689D" w14:textId="77777777" w:rsidR="00C71ACB" w:rsidRDefault="00C71ACB" w:rsidP="00C71ACB">
      <w:pPr>
        <w:pStyle w:val="Sinespaciado"/>
        <w:jc w:val="both"/>
        <w:rPr>
          <w:rFonts w:asciiTheme="majorHAnsi" w:hAnsiTheme="majorHAnsi" w:cstheme="majorHAnsi"/>
        </w:rPr>
      </w:pPr>
    </w:p>
    <w:p w14:paraId="5CAE53B5" w14:textId="1C4E8EF4" w:rsidR="00C71ACB" w:rsidRDefault="00877FEA" w:rsidP="00877FEA">
      <w:pPr>
        <w:pStyle w:val="Sinespaciado"/>
        <w:jc w:val="center"/>
        <w:rPr>
          <w:rFonts w:asciiTheme="majorHAnsi" w:hAnsiTheme="majorHAnsi" w:cstheme="majorHAnsi"/>
        </w:rPr>
      </w:pPr>
      <w:r>
        <w:rPr>
          <w:rFonts w:asciiTheme="majorHAnsi" w:hAnsiTheme="majorHAnsi" w:cstheme="majorHAnsi"/>
          <w:b/>
        </w:rPr>
        <w:t xml:space="preserve">Tabla 7. </w:t>
      </w:r>
      <w:r>
        <w:rPr>
          <w:rFonts w:asciiTheme="majorHAnsi" w:hAnsiTheme="majorHAnsi" w:cstheme="majorHAnsi"/>
        </w:rPr>
        <w:t>Temas</w:t>
      </w:r>
      <w:r w:rsidR="001B4FD8">
        <w:rPr>
          <w:rFonts w:asciiTheme="majorHAnsi" w:hAnsiTheme="majorHAnsi" w:cstheme="majorHAnsi"/>
        </w:rPr>
        <w:t xml:space="preserve"> pendientes</w:t>
      </w:r>
      <w:r>
        <w:rPr>
          <w:rFonts w:asciiTheme="majorHAnsi" w:hAnsiTheme="majorHAnsi" w:cstheme="majorHAnsi"/>
        </w:rPr>
        <w:t xml:space="preserve"> </w:t>
      </w:r>
      <w:r w:rsidR="001B4FD8">
        <w:rPr>
          <w:rFonts w:asciiTheme="majorHAnsi" w:hAnsiTheme="majorHAnsi" w:cstheme="majorHAnsi"/>
        </w:rPr>
        <w:t>de implementación</w:t>
      </w:r>
    </w:p>
    <w:tbl>
      <w:tblPr>
        <w:tblStyle w:val="Tabladecuadrcula1clara-nfasis11"/>
        <w:tblW w:w="0" w:type="auto"/>
        <w:tblLayout w:type="fixed"/>
        <w:tblLook w:val="0420" w:firstRow="1" w:lastRow="0" w:firstColumn="0" w:lastColumn="0" w:noHBand="0" w:noVBand="1"/>
      </w:tblPr>
      <w:tblGrid>
        <w:gridCol w:w="2830"/>
        <w:gridCol w:w="1560"/>
        <w:gridCol w:w="4438"/>
      </w:tblGrid>
      <w:tr w:rsidR="009676A5" w:rsidRPr="00A93C8D" w14:paraId="1609FE56" w14:textId="77777777" w:rsidTr="0083487D">
        <w:trPr>
          <w:cnfStyle w:val="100000000000" w:firstRow="1" w:lastRow="0" w:firstColumn="0" w:lastColumn="0" w:oddVBand="0" w:evenVBand="0" w:oddHBand="0" w:evenHBand="0" w:firstRowFirstColumn="0" w:firstRowLastColumn="0" w:lastRowFirstColumn="0" w:lastRowLastColumn="0"/>
          <w:trHeight w:val="20"/>
        </w:trPr>
        <w:tc>
          <w:tcPr>
            <w:tcW w:w="2830" w:type="dxa"/>
            <w:vAlign w:val="center"/>
          </w:tcPr>
          <w:p w14:paraId="7767B1C2" w14:textId="784ADF9F" w:rsidR="009676A5" w:rsidRPr="00A93C8D" w:rsidRDefault="009676A5" w:rsidP="00877FEA">
            <w:pPr>
              <w:pStyle w:val="Sinespaciado"/>
              <w:jc w:val="center"/>
              <w:rPr>
                <w:rFonts w:asciiTheme="majorHAnsi" w:hAnsiTheme="majorHAnsi" w:cstheme="majorHAnsi"/>
                <w:sz w:val="18"/>
              </w:rPr>
            </w:pPr>
            <w:r>
              <w:rPr>
                <w:rFonts w:asciiTheme="majorHAnsi" w:hAnsiTheme="majorHAnsi" w:cstheme="majorHAnsi"/>
                <w:sz w:val="18"/>
              </w:rPr>
              <w:t>Artículos relacionados</w:t>
            </w:r>
          </w:p>
        </w:tc>
        <w:tc>
          <w:tcPr>
            <w:tcW w:w="1560" w:type="dxa"/>
            <w:vAlign w:val="center"/>
          </w:tcPr>
          <w:p w14:paraId="279C2D69" w14:textId="7DD0DA06" w:rsidR="009676A5" w:rsidRPr="009676A5" w:rsidRDefault="009676A5" w:rsidP="008818D6">
            <w:pPr>
              <w:pStyle w:val="Sinespaciado"/>
              <w:jc w:val="center"/>
              <w:rPr>
                <w:rFonts w:asciiTheme="majorHAnsi" w:hAnsiTheme="majorHAnsi" w:cstheme="majorHAnsi"/>
                <w:sz w:val="18"/>
              </w:rPr>
            </w:pPr>
            <w:r w:rsidRPr="009676A5">
              <w:rPr>
                <w:rFonts w:asciiTheme="majorHAnsi" w:hAnsiTheme="majorHAnsi" w:cstheme="majorHAnsi"/>
                <w:sz w:val="18"/>
              </w:rPr>
              <w:t>Entidad responsable</w:t>
            </w:r>
          </w:p>
        </w:tc>
        <w:tc>
          <w:tcPr>
            <w:tcW w:w="4438" w:type="dxa"/>
            <w:vAlign w:val="center"/>
          </w:tcPr>
          <w:p w14:paraId="601B654C" w14:textId="195D33E2" w:rsidR="009676A5" w:rsidRPr="00A93C8D" w:rsidRDefault="009676A5" w:rsidP="008818D6">
            <w:pPr>
              <w:pStyle w:val="Sinespaciado"/>
              <w:jc w:val="center"/>
              <w:rPr>
                <w:rFonts w:asciiTheme="majorHAnsi" w:hAnsiTheme="majorHAnsi" w:cstheme="majorHAnsi"/>
                <w:sz w:val="18"/>
              </w:rPr>
            </w:pPr>
            <w:r w:rsidRPr="00A93C8D">
              <w:rPr>
                <w:rFonts w:asciiTheme="majorHAnsi" w:hAnsiTheme="majorHAnsi" w:cstheme="majorHAnsi"/>
                <w:sz w:val="18"/>
              </w:rPr>
              <w:t>Tema</w:t>
            </w:r>
          </w:p>
        </w:tc>
      </w:tr>
      <w:tr w:rsidR="009676A5" w:rsidRPr="00A93C8D" w14:paraId="2EA426D6" w14:textId="77777777" w:rsidTr="0083487D">
        <w:trPr>
          <w:trHeight w:val="20"/>
        </w:trPr>
        <w:tc>
          <w:tcPr>
            <w:tcW w:w="2830" w:type="dxa"/>
            <w:vAlign w:val="center"/>
          </w:tcPr>
          <w:p w14:paraId="09E60CC2" w14:textId="77777777" w:rsidR="009676A5" w:rsidRDefault="009676A5" w:rsidP="008818D6">
            <w:pPr>
              <w:pStyle w:val="Sinespaciado"/>
              <w:jc w:val="center"/>
              <w:rPr>
                <w:rFonts w:asciiTheme="majorHAnsi" w:hAnsiTheme="majorHAnsi" w:cstheme="majorHAnsi"/>
                <w:sz w:val="18"/>
              </w:rPr>
            </w:pPr>
            <w:r>
              <w:rPr>
                <w:rFonts w:asciiTheme="majorHAnsi" w:hAnsiTheme="majorHAnsi" w:cstheme="majorHAnsi"/>
                <w:sz w:val="18"/>
              </w:rPr>
              <w:t>Artículo 31 de la Ley 1876 de 2017</w:t>
            </w:r>
          </w:p>
          <w:p w14:paraId="59841211" w14:textId="77777777" w:rsidR="009676A5" w:rsidRDefault="009676A5" w:rsidP="008818D6">
            <w:pPr>
              <w:pStyle w:val="Sinespaciado"/>
              <w:jc w:val="center"/>
              <w:rPr>
                <w:rFonts w:asciiTheme="majorHAnsi" w:hAnsiTheme="majorHAnsi" w:cstheme="majorHAnsi"/>
                <w:sz w:val="18"/>
              </w:rPr>
            </w:pPr>
          </w:p>
          <w:p w14:paraId="186EE809" w14:textId="01321A62" w:rsidR="009676A5" w:rsidRPr="00A93C8D" w:rsidRDefault="009676A5" w:rsidP="008818D6">
            <w:pPr>
              <w:pStyle w:val="Sinespaciado"/>
              <w:jc w:val="center"/>
              <w:rPr>
                <w:rFonts w:asciiTheme="majorHAnsi" w:hAnsiTheme="majorHAnsi" w:cstheme="majorHAnsi"/>
                <w:sz w:val="18"/>
              </w:rPr>
            </w:pPr>
            <w:r>
              <w:rPr>
                <w:rFonts w:asciiTheme="majorHAnsi" w:hAnsiTheme="majorHAnsi" w:cstheme="majorHAnsi"/>
                <w:sz w:val="18"/>
              </w:rPr>
              <w:t>Artículo 5.4 de la Resolución 407 de 2018</w:t>
            </w:r>
          </w:p>
        </w:tc>
        <w:tc>
          <w:tcPr>
            <w:tcW w:w="1560" w:type="dxa"/>
            <w:vAlign w:val="center"/>
          </w:tcPr>
          <w:p w14:paraId="286C1AAF" w14:textId="3B206690" w:rsidR="009676A5" w:rsidRPr="00877FEA" w:rsidRDefault="00A024EC" w:rsidP="00A024EC">
            <w:pPr>
              <w:pStyle w:val="Sinespaciado"/>
              <w:jc w:val="center"/>
              <w:rPr>
                <w:rFonts w:asciiTheme="majorHAnsi" w:hAnsiTheme="majorHAnsi" w:cstheme="majorHAnsi"/>
                <w:sz w:val="18"/>
              </w:rPr>
            </w:pPr>
            <w:r>
              <w:rPr>
                <w:rFonts w:asciiTheme="majorHAnsi" w:hAnsiTheme="majorHAnsi" w:cstheme="majorHAnsi"/>
                <w:sz w:val="18"/>
              </w:rPr>
              <w:t>MADR-ADR</w:t>
            </w:r>
          </w:p>
        </w:tc>
        <w:tc>
          <w:tcPr>
            <w:tcW w:w="4438" w:type="dxa"/>
            <w:vAlign w:val="center"/>
          </w:tcPr>
          <w:p w14:paraId="71C85CFC" w14:textId="2D86D37C" w:rsidR="009676A5" w:rsidRPr="00A93C8D" w:rsidRDefault="009676A5" w:rsidP="008818D6">
            <w:pPr>
              <w:pStyle w:val="Sinespaciado"/>
              <w:jc w:val="both"/>
              <w:rPr>
                <w:rFonts w:asciiTheme="majorHAnsi" w:hAnsiTheme="majorHAnsi" w:cstheme="majorHAnsi"/>
                <w:sz w:val="18"/>
              </w:rPr>
            </w:pPr>
            <w:r w:rsidRPr="00877FEA">
              <w:rPr>
                <w:rFonts w:asciiTheme="majorHAnsi" w:hAnsiTheme="majorHAnsi" w:cstheme="majorHAnsi"/>
                <w:sz w:val="18"/>
              </w:rPr>
              <w:t>Manual operativo para el Registro y Clasificación de Usuarios de Extensión Agropecuaria: con la Resolución 407 de 2018</w:t>
            </w:r>
          </w:p>
        </w:tc>
      </w:tr>
      <w:tr w:rsidR="009676A5" w:rsidRPr="00A93C8D" w14:paraId="5776E238" w14:textId="77777777" w:rsidTr="0083487D">
        <w:trPr>
          <w:trHeight w:val="20"/>
        </w:trPr>
        <w:tc>
          <w:tcPr>
            <w:tcW w:w="2830" w:type="dxa"/>
            <w:vAlign w:val="center"/>
          </w:tcPr>
          <w:p w14:paraId="6A7299CF" w14:textId="463D8788" w:rsidR="009676A5" w:rsidRPr="00A93C8D" w:rsidRDefault="009676A5" w:rsidP="008818D6">
            <w:pPr>
              <w:pStyle w:val="Sinespaciado"/>
              <w:jc w:val="center"/>
              <w:rPr>
                <w:rFonts w:asciiTheme="majorHAnsi" w:hAnsiTheme="majorHAnsi" w:cstheme="majorHAnsi"/>
                <w:sz w:val="18"/>
              </w:rPr>
            </w:pPr>
            <w:r>
              <w:rPr>
                <w:rFonts w:asciiTheme="majorHAnsi" w:hAnsiTheme="majorHAnsi" w:cstheme="majorHAnsi"/>
                <w:sz w:val="18"/>
              </w:rPr>
              <w:t>Artículo 29 de la Ley 1876 de 2017</w:t>
            </w:r>
          </w:p>
        </w:tc>
        <w:tc>
          <w:tcPr>
            <w:tcW w:w="1560" w:type="dxa"/>
            <w:vAlign w:val="center"/>
          </w:tcPr>
          <w:p w14:paraId="33D1CC1C" w14:textId="02E36A26" w:rsidR="009676A5" w:rsidRPr="009676A5" w:rsidRDefault="00A024EC" w:rsidP="00A024EC">
            <w:pPr>
              <w:pStyle w:val="Sinespaciado"/>
              <w:jc w:val="center"/>
              <w:rPr>
                <w:rFonts w:asciiTheme="majorHAnsi" w:hAnsiTheme="majorHAnsi" w:cstheme="majorHAnsi"/>
                <w:sz w:val="18"/>
              </w:rPr>
            </w:pPr>
            <w:r>
              <w:rPr>
                <w:rFonts w:asciiTheme="majorHAnsi" w:hAnsiTheme="majorHAnsi" w:cstheme="majorHAnsi"/>
                <w:sz w:val="18"/>
              </w:rPr>
              <w:t>Departamentos en coordinación con municipios y distritos</w:t>
            </w:r>
          </w:p>
        </w:tc>
        <w:tc>
          <w:tcPr>
            <w:tcW w:w="4438" w:type="dxa"/>
            <w:vAlign w:val="center"/>
          </w:tcPr>
          <w:p w14:paraId="498391A2" w14:textId="56486EDC" w:rsidR="009676A5" w:rsidRPr="00A93C8D" w:rsidRDefault="009676A5" w:rsidP="008818D6">
            <w:pPr>
              <w:pStyle w:val="Sinespaciado"/>
              <w:jc w:val="both"/>
              <w:rPr>
                <w:rFonts w:asciiTheme="majorHAnsi" w:hAnsiTheme="majorHAnsi" w:cstheme="majorHAnsi"/>
                <w:sz w:val="18"/>
              </w:rPr>
            </w:pPr>
            <w:r w:rsidRPr="009676A5">
              <w:rPr>
                <w:rFonts w:asciiTheme="majorHAnsi" w:hAnsiTheme="majorHAnsi" w:cstheme="majorHAnsi"/>
                <w:sz w:val="18"/>
              </w:rPr>
              <w:t>Formulación de los Planes Departamentales d</w:t>
            </w:r>
            <w:r>
              <w:rPr>
                <w:rFonts w:asciiTheme="majorHAnsi" w:hAnsiTheme="majorHAnsi" w:cstheme="majorHAnsi"/>
                <w:sz w:val="18"/>
              </w:rPr>
              <w:t>e Extensión Agropecuaria (PDEA)</w:t>
            </w:r>
          </w:p>
        </w:tc>
      </w:tr>
      <w:tr w:rsidR="009676A5" w:rsidRPr="00A93C8D" w14:paraId="38C25F9E" w14:textId="77777777" w:rsidTr="0083487D">
        <w:trPr>
          <w:trHeight w:val="20"/>
        </w:trPr>
        <w:tc>
          <w:tcPr>
            <w:tcW w:w="2830" w:type="dxa"/>
            <w:vAlign w:val="center"/>
          </w:tcPr>
          <w:p w14:paraId="06D16D8B" w14:textId="6ABCF087" w:rsidR="009676A5" w:rsidRPr="00A93C8D" w:rsidRDefault="00A024EC" w:rsidP="008818D6">
            <w:pPr>
              <w:pStyle w:val="Sinespaciado"/>
              <w:jc w:val="center"/>
              <w:rPr>
                <w:rFonts w:asciiTheme="majorHAnsi" w:hAnsiTheme="majorHAnsi" w:cstheme="majorHAnsi"/>
                <w:sz w:val="18"/>
              </w:rPr>
            </w:pPr>
            <w:r>
              <w:rPr>
                <w:rFonts w:asciiTheme="majorHAnsi" w:hAnsiTheme="majorHAnsi" w:cstheme="majorHAnsi"/>
                <w:sz w:val="18"/>
              </w:rPr>
              <w:t>Artículos 8 y 9</w:t>
            </w:r>
          </w:p>
        </w:tc>
        <w:tc>
          <w:tcPr>
            <w:tcW w:w="1560" w:type="dxa"/>
            <w:vAlign w:val="center"/>
          </w:tcPr>
          <w:p w14:paraId="3B7659A3" w14:textId="6D645D9B" w:rsidR="009676A5" w:rsidRPr="00A93C8D" w:rsidRDefault="00A024EC" w:rsidP="00A024EC">
            <w:pPr>
              <w:pStyle w:val="Sinespaciado"/>
              <w:jc w:val="center"/>
              <w:rPr>
                <w:rFonts w:asciiTheme="majorHAnsi" w:hAnsiTheme="majorHAnsi" w:cstheme="majorHAnsi"/>
                <w:sz w:val="18"/>
              </w:rPr>
            </w:pPr>
            <w:r>
              <w:rPr>
                <w:rFonts w:asciiTheme="majorHAnsi" w:hAnsiTheme="majorHAnsi" w:cstheme="majorHAnsi"/>
                <w:sz w:val="18"/>
              </w:rPr>
              <w:t>MADR</w:t>
            </w:r>
          </w:p>
        </w:tc>
        <w:tc>
          <w:tcPr>
            <w:tcW w:w="4438" w:type="dxa"/>
            <w:vAlign w:val="center"/>
          </w:tcPr>
          <w:p w14:paraId="2CED1077" w14:textId="79E5CE2D" w:rsidR="009676A5" w:rsidRDefault="00A024EC" w:rsidP="00A024EC">
            <w:pPr>
              <w:pStyle w:val="Sinespaciado"/>
              <w:jc w:val="both"/>
              <w:rPr>
                <w:rFonts w:asciiTheme="majorHAnsi" w:hAnsiTheme="majorHAnsi" w:cstheme="majorHAnsi"/>
                <w:sz w:val="18"/>
              </w:rPr>
            </w:pPr>
            <w:r>
              <w:rPr>
                <w:rFonts w:asciiTheme="majorHAnsi" w:hAnsiTheme="majorHAnsi" w:cstheme="majorHAnsi"/>
                <w:sz w:val="18"/>
              </w:rPr>
              <w:t>- Elección de representantes al Consejo Superior (</w:t>
            </w:r>
            <w:r w:rsidRPr="00A93C8D">
              <w:rPr>
                <w:rFonts w:asciiTheme="majorHAnsi" w:hAnsiTheme="majorHAnsi" w:cstheme="majorHAnsi"/>
                <w:sz w:val="18"/>
              </w:rPr>
              <w:t>numerales 12-15</w:t>
            </w:r>
            <w:r>
              <w:rPr>
                <w:rFonts w:asciiTheme="majorHAnsi" w:hAnsiTheme="majorHAnsi" w:cstheme="majorHAnsi"/>
                <w:sz w:val="18"/>
              </w:rPr>
              <w:t>)</w:t>
            </w:r>
          </w:p>
          <w:p w14:paraId="2B640FE4" w14:textId="5614CB68" w:rsidR="00A024EC" w:rsidRPr="00A93C8D" w:rsidRDefault="00A024EC" w:rsidP="00A024EC">
            <w:pPr>
              <w:pStyle w:val="Sinespaciado"/>
              <w:jc w:val="both"/>
              <w:rPr>
                <w:rFonts w:asciiTheme="majorHAnsi" w:hAnsiTheme="majorHAnsi" w:cstheme="majorHAnsi"/>
                <w:sz w:val="18"/>
              </w:rPr>
            </w:pPr>
            <w:r>
              <w:rPr>
                <w:rFonts w:asciiTheme="majorHAnsi" w:hAnsiTheme="majorHAnsi" w:cstheme="majorHAnsi"/>
                <w:sz w:val="18"/>
              </w:rPr>
              <w:t>- Reunión del Consejo Superior del SNIA</w:t>
            </w:r>
          </w:p>
        </w:tc>
      </w:tr>
    </w:tbl>
    <w:p w14:paraId="563917D7" w14:textId="77777777" w:rsidR="00877FEA" w:rsidRPr="00877FEA" w:rsidRDefault="00877FEA" w:rsidP="00877FEA">
      <w:pPr>
        <w:pStyle w:val="Sinespaciado"/>
        <w:jc w:val="center"/>
        <w:rPr>
          <w:rFonts w:asciiTheme="majorHAnsi" w:hAnsiTheme="majorHAnsi" w:cstheme="majorHAnsi"/>
        </w:rPr>
      </w:pPr>
    </w:p>
    <w:p w14:paraId="1C7BBDB7" w14:textId="77777777" w:rsidR="00877FEA" w:rsidRPr="00C71ACB" w:rsidRDefault="00877FEA" w:rsidP="00C71ACB">
      <w:pPr>
        <w:pStyle w:val="Sinespaciado"/>
        <w:jc w:val="both"/>
        <w:rPr>
          <w:rFonts w:asciiTheme="majorHAnsi" w:hAnsiTheme="majorHAnsi" w:cstheme="majorHAnsi"/>
        </w:rPr>
      </w:pPr>
    </w:p>
    <w:p w14:paraId="70728312" w14:textId="2D05BA6B" w:rsidR="00FE410F" w:rsidRPr="004A79A5" w:rsidRDefault="00FE410F" w:rsidP="00FE410F">
      <w:pPr>
        <w:pStyle w:val="Sinespaciado"/>
        <w:ind w:left="360"/>
        <w:jc w:val="both"/>
        <w:outlineLvl w:val="2"/>
        <w:rPr>
          <w:rFonts w:asciiTheme="majorHAnsi" w:hAnsiTheme="majorHAnsi" w:cstheme="majorHAnsi"/>
          <w:b/>
          <w:i/>
        </w:rPr>
      </w:pPr>
      <w:bookmarkStart w:id="79" w:name="_Toc4680874"/>
      <w:r w:rsidRPr="004A79A5">
        <w:rPr>
          <w:rFonts w:asciiTheme="majorHAnsi" w:hAnsiTheme="majorHAnsi" w:cstheme="majorHAnsi"/>
          <w:b/>
          <w:i/>
        </w:rPr>
        <w:t xml:space="preserve">Acción 1.2 </w:t>
      </w:r>
      <w:r w:rsidR="004D7242" w:rsidRPr="004A79A5">
        <w:rPr>
          <w:rFonts w:asciiTheme="majorHAnsi" w:hAnsiTheme="majorHAnsi" w:cstheme="majorHAnsi"/>
          <w:b/>
          <w:i/>
        </w:rPr>
        <w:t>Acompañamiento técnico para la formulación de los PDEA</w:t>
      </w:r>
      <w:bookmarkEnd w:id="79"/>
    </w:p>
    <w:p w14:paraId="4ECAA19D" w14:textId="77777777" w:rsidR="00C71ACB" w:rsidRPr="004A79A5" w:rsidRDefault="00C71ACB" w:rsidP="00C71ACB">
      <w:pPr>
        <w:pStyle w:val="Sinespaciado"/>
        <w:jc w:val="both"/>
        <w:rPr>
          <w:rFonts w:asciiTheme="majorHAnsi" w:hAnsiTheme="majorHAnsi" w:cstheme="majorHAnsi"/>
        </w:rPr>
      </w:pPr>
    </w:p>
    <w:p w14:paraId="267E3078" w14:textId="063A64A1" w:rsidR="00E4778F" w:rsidRPr="004A79A5" w:rsidRDefault="006304E2" w:rsidP="00E4778F">
      <w:pPr>
        <w:pStyle w:val="Sinespaciado"/>
        <w:jc w:val="both"/>
        <w:rPr>
          <w:rFonts w:ascii="Calibri Light" w:eastAsia="Times New Roman" w:hAnsi="Calibri Light"/>
          <w:shd w:val="clear" w:color="auto" w:fill="FFFFFF"/>
        </w:rPr>
      </w:pPr>
      <w:r>
        <w:rPr>
          <w:rFonts w:ascii="Calibri Light" w:eastAsia="Times New Roman" w:hAnsi="Calibri Light"/>
          <w:shd w:val="clear" w:color="auto" w:fill="FFFFFF"/>
        </w:rPr>
        <w:t xml:space="preserve">Esta acción </w:t>
      </w:r>
      <w:r w:rsidR="004A79A5" w:rsidRPr="004A79A5">
        <w:rPr>
          <w:rFonts w:ascii="Calibri Light" w:eastAsia="Times New Roman" w:hAnsi="Calibri Light"/>
          <w:shd w:val="clear" w:color="auto" w:fill="FFFFFF"/>
        </w:rPr>
        <w:t>en la utilización de metodologías e instrumentos, así como en el apoyo a la articulación institucional que las Unidades Técnicas Territoriales</w:t>
      </w:r>
      <w:r>
        <w:rPr>
          <w:rFonts w:ascii="Calibri Light" w:eastAsia="Times New Roman" w:hAnsi="Calibri Light"/>
          <w:shd w:val="clear" w:color="auto" w:fill="FFFFFF"/>
        </w:rPr>
        <w:t xml:space="preserve"> (UTT)</w:t>
      </w:r>
      <w:r w:rsidR="004A79A5" w:rsidRPr="004A79A5">
        <w:rPr>
          <w:rFonts w:ascii="Calibri Light" w:eastAsia="Times New Roman" w:hAnsi="Calibri Light"/>
          <w:shd w:val="clear" w:color="auto" w:fill="FFFFFF"/>
        </w:rPr>
        <w:t xml:space="preserve"> de la ADR otorgarán a las Secretarias de Agricultura departamental o quien haga sus veces, de tal manera que estas alcancen la formulación del PDEA.</w:t>
      </w:r>
      <w:r>
        <w:rPr>
          <w:rFonts w:ascii="Calibri Light" w:eastAsia="Times New Roman" w:hAnsi="Calibri Light"/>
          <w:shd w:val="clear" w:color="auto" w:fill="FFFFFF"/>
        </w:rPr>
        <w:t xml:space="preserve"> </w:t>
      </w:r>
      <w:r w:rsidR="008D34B8">
        <w:rPr>
          <w:rFonts w:ascii="Calibri Light" w:eastAsia="Times New Roman" w:hAnsi="Calibri Light"/>
          <w:shd w:val="clear" w:color="auto" w:fill="FFFFFF"/>
        </w:rPr>
        <w:t>El</w:t>
      </w:r>
      <w:r w:rsidR="00F132FC">
        <w:rPr>
          <w:rFonts w:ascii="Calibri Light" w:eastAsia="Times New Roman" w:hAnsi="Calibri Light"/>
          <w:shd w:val="clear" w:color="auto" w:fill="FFFFFF"/>
        </w:rPr>
        <w:t xml:space="preserve"> procedimiento</w:t>
      </w:r>
      <w:r w:rsidR="008D34B8">
        <w:rPr>
          <w:rFonts w:ascii="Calibri Light" w:eastAsia="Times New Roman" w:hAnsi="Calibri Light"/>
          <w:shd w:val="clear" w:color="auto" w:fill="FFFFFF"/>
        </w:rPr>
        <w:t xml:space="preserve"> de acompañamiento técnico</w:t>
      </w:r>
      <w:r w:rsidR="00F132FC">
        <w:rPr>
          <w:rFonts w:ascii="Calibri Light" w:eastAsia="Times New Roman" w:hAnsi="Calibri Light"/>
          <w:shd w:val="clear" w:color="auto" w:fill="FFFFFF"/>
        </w:rPr>
        <w:t xml:space="preserve"> será definido por la ADR y transferido a las UTT para su implementación. </w:t>
      </w:r>
    </w:p>
    <w:p w14:paraId="6CB6E062" w14:textId="77777777" w:rsidR="004A79A5" w:rsidRPr="00FC6B4F" w:rsidRDefault="004A79A5" w:rsidP="00E4778F">
      <w:pPr>
        <w:pStyle w:val="Sinespaciado"/>
        <w:jc w:val="both"/>
        <w:rPr>
          <w:rFonts w:asciiTheme="majorHAnsi" w:hAnsiTheme="majorHAnsi" w:cstheme="majorHAnsi"/>
        </w:rPr>
      </w:pPr>
    </w:p>
    <w:p w14:paraId="3C3BA4FA" w14:textId="04AF750B" w:rsidR="00315C87" w:rsidRPr="00921E13" w:rsidRDefault="00315C87" w:rsidP="002A52C9">
      <w:pPr>
        <w:pStyle w:val="Sinespaciado"/>
        <w:ind w:left="360"/>
        <w:jc w:val="both"/>
        <w:outlineLvl w:val="2"/>
        <w:rPr>
          <w:rFonts w:asciiTheme="majorHAnsi" w:hAnsiTheme="majorHAnsi" w:cstheme="majorHAnsi"/>
          <w:b/>
          <w:i/>
        </w:rPr>
      </w:pPr>
      <w:bookmarkStart w:id="80" w:name="_Toc4680875"/>
      <w:r w:rsidRPr="00921E13">
        <w:rPr>
          <w:rFonts w:asciiTheme="majorHAnsi" w:hAnsiTheme="majorHAnsi" w:cstheme="majorHAnsi"/>
          <w:b/>
          <w:i/>
        </w:rPr>
        <w:t>Acción 1.3 Formulación de los PDEA</w:t>
      </w:r>
      <w:bookmarkEnd w:id="80"/>
    </w:p>
    <w:p w14:paraId="1257FF19" w14:textId="77777777" w:rsidR="002A52C9" w:rsidRDefault="002A52C9" w:rsidP="002A52C9">
      <w:pPr>
        <w:pStyle w:val="Sinespaciado"/>
        <w:jc w:val="both"/>
        <w:rPr>
          <w:rFonts w:asciiTheme="majorHAnsi" w:hAnsiTheme="majorHAnsi" w:cstheme="majorHAnsi"/>
          <w:i/>
          <w:color w:val="FF0000"/>
        </w:rPr>
      </w:pPr>
    </w:p>
    <w:p w14:paraId="54E2152F" w14:textId="5D4478AB" w:rsidR="002A52C9" w:rsidRDefault="002A52C9" w:rsidP="002A52C9">
      <w:pPr>
        <w:pStyle w:val="Sinespaciado"/>
        <w:jc w:val="both"/>
        <w:rPr>
          <w:rFonts w:asciiTheme="majorHAnsi" w:hAnsiTheme="majorHAnsi" w:cstheme="majorHAnsi"/>
        </w:rPr>
      </w:pPr>
      <w:r>
        <w:rPr>
          <w:rFonts w:asciiTheme="majorHAnsi" w:hAnsiTheme="majorHAnsi" w:cstheme="majorHAnsi"/>
        </w:rPr>
        <w:t>Esta acción será adelantada por las Secretarías de Agricultura Departamentales o las que hagan sus veces, en coordinación con sus municipios y distritos, para lo que contarán con el acompañamiento técnico de las UTT de la ADR, como se menciona en la Acción 1.2 del presente plan.</w:t>
      </w:r>
    </w:p>
    <w:p w14:paraId="6F6548F9" w14:textId="77777777" w:rsidR="000303D0" w:rsidRDefault="000303D0" w:rsidP="002A52C9">
      <w:pPr>
        <w:pStyle w:val="Sinespaciado"/>
        <w:jc w:val="both"/>
        <w:rPr>
          <w:rFonts w:asciiTheme="majorHAnsi" w:hAnsiTheme="majorHAnsi" w:cstheme="majorHAnsi"/>
        </w:rPr>
      </w:pPr>
    </w:p>
    <w:p w14:paraId="1BAD63E8" w14:textId="14E10CC7" w:rsidR="000303D0" w:rsidRDefault="000303D0" w:rsidP="002A52C9">
      <w:pPr>
        <w:pStyle w:val="Sinespaciado"/>
        <w:jc w:val="both"/>
        <w:rPr>
          <w:rFonts w:asciiTheme="majorHAnsi" w:hAnsiTheme="majorHAnsi" w:cstheme="majorHAnsi"/>
        </w:rPr>
      </w:pPr>
      <w:r>
        <w:rPr>
          <w:rFonts w:asciiTheme="majorHAnsi" w:hAnsiTheme="majorHAnsi" w:cstheme="majorHAnsi"/>
        </w:rPr>
        <w:t>Los PDEA deberán contemplar los elementos mínimos definidos en el Artículo 29 de la Ley 1876 de 2017 y los lineamientos</w:t>
      </w:r>
      <w:r w:rsidR="00D33BF2">
        <w:rPr>
          <w:rFonts w:asciiTheme="majorHAnsi" w:hAnsiTheme="majorHAnsi" w:cstheme="majorHAnsi"/>
        </w:rPr>
        <w:t xml:space="preserve"> para la formulación indicados en e</w:t>
      </w:r>
      <w:r>
        <w:rPr>
          <w:rFonts w:asciiTheme="majorHAnsi" w:hAnsiTheme="majorHAnsi" w:cstheme="majorHAnsi"/>
        </w:rPr>
        <w:t xml:space="preserve">l anexo de la Resolución 407 de 2018. </w:t>
      </w:r>
    </w:p>
    <w:p w14:paraId="1253BB0B" w14:textId="77777777" w:rsidR="00C43D12" w:rsidRDefault="00C43D12" w:rsidP="002A52C9">
      <w:pPr>
        <w:pStyle w:val="Sinespaciado"/>
        <w:jc w:val="both"/>
        <w:rPr>
          <w:rFonts w:asciiTheme="majorHAnsi" w:hAnsiTheme="majorHAnsi" w:cstheme="majorHAnsi"/>
        </w:rPr>
      </w:pPr>
    </w:p>
    <w:p w14:paraId="7080BD5E" w14:textId="77777777" w:rsidR="00C43D12" w:rsidRDefault="00C43D12" w:rsidP="002A52C9">
      <w:pPr>
        <w:pStyle w:val="Sinespaciado"/>
        <w:jc w:val="both"/>
        <w:rPr>
          <w:rFonts w:asciiTheme="majorHAnsi" w:hAnsiTheme="majorHAnsi" w:cstheme="majorHAnsi"/>
        </w:rPr>
      </w:pPr>
    </w:p>
    <w:p w14:paraId="313B48FF" w14:textId="41873739" w:rsidR="00C43D12" w:rsidRPr="007F7D88" w:rsidRDefault="00C43D12" w:rsidP="00C43D12">
      <w:pPr>
        <w:pStyle w:val="Sinespaciado"/>
        <w:ind w:left="360"/>
        <w:jc w:val="both"/>
        <w:outlineLvl w:val="2"/>
        <w:rPr>
          <w:rFonts w:asciiTheme="majorHAnsi" w:hAnsiTheme="majorHAnsi" w:cstheme="majorHAnsi"/>
          <w:b/>
        </w:rPr>
      </w:pPr>
      <w:bookmarkStart w:id="81" w:name="_Toc4680876"/>
      <w:r w:rsidRPr="00362A82">
        <w:rPr>
          <w:rFonts w:asciiTheme="majorHAnsi" w:hAnsiTheme="majorHAnsi" w:cstheme="majorHAnsi"/>
          <w:b/>
          <w:i/>
        </w:rPr>
        <w:t xml:space="preserve">Acción 1.4 </w:t>
      </w:r>
      <w:r w:rsidRPr="007F7D88">
        <w:rPr>
          <w:rFonts w:asciiTheme="majorHAnsi" w:hAnsiTheme="majorHAnsi" w:cstheme="majorHAnsi"/>
          <w:b/>
          <w:i/>
        </w:rPr>
        <w:t>Coordinación del soporte al Subsistema Nacional de Extensión Agropecuaria</w:t>
      </w:r>
      <w:bookmarkEnd w:id="81"/>
    </w:p>
    <w:p w14:paraId="00538146" w14:textId="77777777" w:rsidR="002A52C9" w:rsidRDefault="002A52C9" w:rsidP="002A52C9">
      <w:pPr>
        <w:pStyle w:val="Sinespaciado"/>
        <w:jc w:val="both"/>
        <w:rPr>
          <w:rFonts w:asciiTheme="majorHAnsi" w:hAnsiTheme="majorHAnsi" w:cstheme="majorHAnsi"/>
          <w:i/>
          <w:color w:val="FF0000"/>
        </w:rPr>
      </w:pPr>
    </w:p>
    <w:p w14:paraId="5A08A5FD" w14:textId="515B6EE7" w:rsidR="00792CCE" w:rsidRDefault="00C80463" w:rsidP="00575DFC">
      <w:pPr>
        <w:pStyle w:val="Sinespaciado"/>
        <w:jc w:val="both"/>
        <w:rPr>
          <w:rFonts w:asciiTheme="majorHAnsi" w:hAnsiTheme="majorHAnsi" w:cstheme="majorHAnsi"/>
        </w:rPr>
      </w:pPr>
      <w:r>
        <w:rPr>
          <w:rFonts w:asciiTheme="majorHAnsi" w:hAnsiTheme="majorHAnsi" w:cstheme="majorHAnsi"/>
        </w:rPr>
        <w:t xml:space="preserve">Esta acción será </w:t>
      </w:r>
      <w:r w:rsidR="00927288">
        <w:rPr>
          <w:rFonts w:asciiTheme="majorHAnsi" w:hAnsiTheme="majorHAnsi" w:cstheme="majorHAnsi"/>
        </w:rPr>
        <w:t>adelantada</w:t>
      </w:r>
      <w:r w:rsidR="00792CCE">
        <w:rPr>
          <w:rFonts w:asciiTheme="majorHAnsi" w:hAnsiTheme="majorHAnsi" w:cstheme="majorHAnsi"/>
        </w:rPr>
        <w:t xml:space="preserve"> </w:t>
      </w:r>
      <w:r w:rsidR="00927288">
        <w:rPr>
          <w:rFonts w:asciiTheme="majorHAnsi" w:hAnsiTheme="majorHAnsi" w:cstheme="majorHAnsi"/>
        </w:rPr>
        <w:t>por AGROSAVIA en su rol de “Coordinador del soporte al Subsistema de Extensión Agropecuaria” según el Artículo 2</w:t>
      </w:r>
      <w:r w:rsidR="00792CCE">
        <w:rPr>
          <w:rFonts w:asciiTheme="majorHAnsi" w:hAnsiTheme="majorHAnsi" w:cstheme="majorHAnsi"/>
        </w:rPr>
        <w:t>3</w:t>
      </w:r>
      <w:r w:rsidR="007729DE">
        <w:rPr>
          <w:rFonts w:asciiTheme="majorHAnsi" w:hAnsiTheme="majorHAnsi" w:cstheme="majorHAnsi"/>
        </w:rPr>
        <w:t xml:space="preserve"> de la Ley 1876 de 2017, y contempla las siguientes acciones:</w:t>
      </w:r>
    </w:p>
    <w:p w14:paraId="2EF864B1" w14:textId="77777777" w:rsidR="003703B1" w:rsidRPr="003703B1" w:rsidRDefault="003703B1" w:rsidP="003703B1">
      <w:pPr>
        <w:pStyle w:val="Sinespaciado"/>
        <w:jc w:val="both"/>
        <w:rPr>
          <w:rFonts w:asciiTheme="majorHAnsi" w:hAnsiTheme="majorHAnsi" w:cstheme="majorHAnsi"/>
        </w:rPr>
      </w:pPr>
    </w:p>
    <w:p w14:paraId="0A3BA695" w14:textId="049F858F" w:rsidR="003703B1" w:rsidRPr="003703B1" w:rsidRDefault="003703B1" w:rsidP="00EA162D">
      <w:pPr>
        <w:pStyle w:val="Sinespaciado"/>
        <w:numPr>
          <w:ilvl w:val="0"/>
          <w:numId w:val="22"/>
        </w:numPr>
        <w:ind w:left="360"/>
        <w:jc w:val="both"/>
        <w:rPr>
          <w:rFonts w:asciiTheme="majorHAnsi" w:hAnsiTheme="majorHAnsi" w:cstheme="majorHAnsi"/>
        </w:rPr>
      </w:pPr>
      <w:r w:rsidRPr="003703B1">
        <w:rPr>
          <w:rFonts w:asciiTheme="majorHAnsi" w:hAnsiTheme="majorHAnsi" w:cstheme="majorHAnsi"/>
        </w:rPr>
        <w:t>En coordinación con la ADR, definir y aportar insumos e información pertinente para la definición de los indicadores de medición y del análisis de la información recolectada, en función de los sistemas territoriales de innovación, como unidad básica de operación del SNIA, que permitan a la entidad competente realizar el seguimiento y evaluación de la prestación del servicio de extensión agropecuaria.</w:t>
      </w:r>
    </w:p>
    <w:p w14:paraId="2D725229" w14:textId="77777777" w:rsidR="003703B1" w:rsidRPr="003703B1" w:rsidRDefault="003703B1" w:rsidP="007729DE">
      <w:pPr>
        <w:pStyle w:val="Sinespaciado"/>
        <w:jc w:val="both"/>
        <w:rPr>
          <w:rFonts w:asciiTheme="majorHAnsi" w:hAnsiTheme="majorHAnsi" w:cstheme="majorHAnsi"/>
        </w:rPr>
      </w:pPr>
    </w:p>
    <w:p w14:paraId="15C6B2EF" w14:textId="76D366CF" w:rsidR="003703B1" w:rsidRPr="003703B1" w:rsidRDefault="003703B1" w:rsidP="00EA162D">
      <w:pPr>
        <w:pStyle w:val="Sinespaciado"/>
        <w:numPr>
          <w:ilvl w:val="0"/>
          <w:numId w:val="22"/>
        </w:numPr>
        <w:ind w:left="360"/>
        <w:jc w:val="both"/>
        <w:rPr>
          <w:rFonts w:asciiTheme="majorHAnsi" w:hAnsiTheme="majorHAnsi" w:cstheme="majorHAnsi"/>
        </w:rPr>
      </w:pPr>
      <w:r w:rsidRPr="003703B1">
        <w:rPr>
          <w:rFonts w:asciiTheme="majorHAnsi" w:hAnsiTheme="majorHAnsi" w:cstheme="majorHAnsi"/>
        </w:rPr>
        <w:t xml:space="preserve">Poner en conocimiento la oferta tecnológica generada por los diversos actores del SNIA, a través de la Plataforma Siembra, como soporte a los procesos de actualización, adopción y transferencia. </w:t>
      </w:r>
    </w:p>
    <w:p w14:paraId="02CB2B9B" w14:textId="77777777" w:rsidR="003703B1" w:rsidRPr="003703B1" w:rsidRDefault="003703B1" w:rsidP="007729DE">
      <w:pPr>
        <w:pStyle w:val="Sinespaciado"/>
        <w:jc w:val="both"/>
        <w:rPr>
          <w:rFonts w:asciiTheme="majorHAnsi" w:hAnsiTheme="majorHAnsi" w:cstheme="majorHAnsi"/>
        </w:rPr>
      </w:pPr>
    </w:p>
    <w:p w14:paraId="4754964D" w14:textId="271C0551" w:rsidR="003703B1" w:rsidRPr="003703B1" w:rsidRDefault="003703B1" w:rsidP="00EA162D">
      <w:pPr>
        <w:pStyle w:val="Sinespaciado"/>
        <w:numPr>
          <w:ilvl w:val="0"/>
          <w:numId w:val="22"/>
        </w:numPr>
        <w:ind w:left="360"/>
        <w:jc w:val="both"/>
        <w:rPr>
          <w:rFonts w:asciiTheme="majorHAnsi" w:hAnsiTheme="majorHAnsi" w:cstheme="majorHAnsi"/>
        </w:rPr>
      </w:pPr>
      <w:r w:rsidRPr="003703B1">
        <w:rPr>
          <w:rFonts w:asciiTheme="majorHAnsi" w:hAnsiTheme="majorHAnsi" w:cstheme="majorHAnsi"/>
        </w:rPr>
        <w:t xml:space="preserve">Apoyar la construcción de un documento de línea de base de la extensión agropecuaria del país; y la definición del perfil del extensionista. </w:t>
      </w:r>
    </w:p>
    <w:p w14:paraId="1316DC46" w14:textId="77777777" w:rsidR="003703B1" w:rsidRPr="003703B1" w:rsidRDefault="003703B1" w:rsidP="007729DE">
      <w:pPr>
        <w:pStyle w:val="Sinespaciado"/>
        <w:jc w:val="both"/>
        <w:rPr>
          <w:rFonts w:asciiTheme="majorHAnsi" w:hAnsiTheme="majorHAnsi" w:cstheme="majorHAnsi"/>
        </w:rPr>
      </w:pPr>
    </w:p>
    <w:p w14:paraId="6F0D1ACE" w14:textId="7904C07A" w:rsidR="003703B1" w:rsidRPr="003703B1" w:rsidRDefault="003703B1" w:rsidP="00EA162D">
      <w:pPr>
        <w:pStyle w:val="Sinespaciado"/>
        <w:numPr>
          <w:ilvl w:val="0"/>
          <w:numId w:val="22"/>
        </w:numPr>
        <w:ind w:left="360"/>
        <w:jc w:val="both"/>
        <w:rPr>
          <w:rFonts w:asciiTheme="majorHAnsi" w:hAnsiTheme="majorHAnsi" w:cstheme="majorHAnsi"/>
        </w:rPr>
      </w:pPr>
      <w:r w:rsidRPr="003703B1">
        <w:rPr>
          <w:rFonts w:asciiTheme="majorHAnsi" w:hAnsiTheme="majorHAnsi" w:cstheme="majorHAnsi"/>
        </w:rPr>
        <w:t>Generar alianzas institucionales estratégicas para implementar acciones tendientes a configurar redes de formación de formadores, funcional al subsistema de extensión agropecuaria.</w:t>
      </w:r>
    </w:p>
    <w:p w14:paraId="64CA4593" w14:textId="77777777" w:rsidR="003703B1" w:rsidRPr="003703B1" w:rsidRDefault="003703B1" w:rsidP="007729DE">
      <w:pPr>
        <w:pStyle w:val="Sinespaciado"/>
        <w:jc w:val="both"/>
        <w:rPr>
          <w:rFonts w:asciiTheme="majorHAnsi" w:hAnsiTheme="majorHAnsi" w:cstheme="majorHAnsi"/>
        </w:rPr>
      </w:pPr>
    </w:p>
    <w:p w14:paraId="1DD01D6C" w14:textId="5EBBFA9F" w:rsidR="003703B1" w:rsidRDefault="003703B1" w:rsidP="00EA162D">
      <w:pPr>
        <w:pStyle w:val="Sinespaciado"/>
        <w:numPr>
          <w:ilvl w:val="0"/>
          <w:numId w:val="22"/>
        </w:numPr>
        <w:ind w:left="360"/>
        <w:jc w:val="both"/>
        <w:rPr>
          <w:rFonts w:asciiTheme="majorHAnsi" w:hAnsiTheme="majorHAnsi" w:cstheme="majorHAnsi"/>
        </w:rPr>
      </w:pPr>
      <w:r w:rsidRPr="003703B1">
        <w:rPr>
          <w:rFonts w:asciiTheme="majorHAnsi" w:hAnsiTheme="majorHAnsi" w:cstheme="majorHAnsi"/>
        </w:rPr>
        <w:t>Apoyar la estrategia de gestión de conocimiento del SNIA a través de las plataformas tecnológicas bajo su coordinación y administración como Siembra, Linkata y la</w:t>
      </w:r>
      <w:r w:rsidR="00131964">
        <w:rPr>
          <w:rFonts w:asciiTheme="majorHAnsi" w:hAnsiTheme="majorHAnsi" w:cstheme="majorHAnsi"/>
        </w:rPr>
        <w:t xml:space="preserve"> BAC.</w:t>
      </w:r>
    </w:p>
    <w:p w14:paraId="5405863C" w14:textId="77777777" w:rsidR="003703B1" w:rsidRDefault="003703B1" w:rsidP="007729DE">
      <w:pPr>
        <w:pStyle w:val="Sinespaciado"/>
        <w:jc w:val="both"/>
        <w:rPr>
          <w:rFonts w:asciiTheme="majorHAnsi" w:hAnsiTheme="majorHAnsi" w:cstheme="majorHAnsi"/>
        </w:rPr>
      </w:pPr>
    </w:p>
    <w:p w14:paraId="22E98997" w14:textId="77777777" w:rsidR="005F36D4" w:rsidRDefault="005F36D4" w:rsidP="007729DE">
      <w:pPr>
        <w:pStyle w:val="Sinespaciado"/>
        <w:jc w:val="both"/>
        <w:rPr>
          <w:rFonts w:asciiTheme="majorHAnsi" w:hAnsiTheme="majorHAnsi" w:cstheme="majorHAnsi"/>
        </w:rPr>
      </w:pPr>
    </w:p>
    <w:p w14:paraId="0EE58399" w14:textId="77777777" w:rsidR="0083487D" w:rsidRDefault="0083487D" w:rsidP="007729DE">
      <w:pPr>
        <w:pStyle w:val="Sinespaciado"/>
        <w:jc w:val="both"/>
        <w:rPr>
          <w:rFonts w:asciiTheme="majorHAnsi" w:hAnsiTheme="majorHAnsi" w:cstheme="majorHAnsi"/>
        </w:rPr>
      </w:pPr>
    </w:p>
    <w:p w14:paraId="1957A31D" w14:textId="3700D887" w:rsidR="00575DFC" w:rsidRPr="0083487D" w:rsidRDefault="00A62DFE" w:rsidP="00A62DFE">
      <w:pPr>
        <w:pStyle w:val="Sinespaciado"/>
        <w:ind w:left="360"/>
        <w:jc w:val="both"/>
        <w:outlineLvl w:val="2"/>
        <w:rPr>
          <w:rFonts w:asciiTheme="majorHAnsi" w:hAnsiTheme="majorHAnsi" w:cstheme="majorHAnsi"/>
          <w:b/>
          <w:i/>
        </w:rPr>
      </w:pPr>
      <w:bookmarkStart w:id="82" w:name="_Toc4680877"/>
      <w:r w:rsidRPr="0083487D">
        <w:rPr>
          <w:rFonts w:asciiTheme="majorHAnsi" w:hAnsiTheme="majorHAnsi" w:cstheme="majorHAnsi"/>
          <w:b/>
          <w:i/>
        </w:rPr>
        <w:lastRenderedPageBreak/>
        <w:t>Acción 1.5 Habilitación a las Entidades Prestadoras del Servicio de Extensión Agropecuaria –EPSEA</w:t>
      </w:r>
      <w:bookmarkEnd w:id="82"/>
    </w:p>
    <w:p w14:paraId="5219524C" w14:textId="77777777" w:rsidR="00575DFC" w:rsidRDefault="00575DFC" w:rsidP="002A52C9">
      <w:pPr>
        <w:pStyle w:val="Sinespaciado"/>
        <w:jc w:val="both"/>
        <w:rPr>
          <w:rFonts w:asciiTheme="majorHAnsi" w:hAnsiTheme="majorHAnsi" w:cstheme="majorHAnsi"/>
          <w:i/>
          <w:color w:val="FF0000"/>
        </w:rPr>
      </w:pPr>
    </w:p>
    <w:p w14:paraId="20ABB7F2" w14:textId="3E67D1B9" w:rsidR="00A830DB" w:rsidRPr="00CA5475" w:rsidRDefault="00A830DB" w:rsidP="00A830DB">
      <w:pPr>
        <w:spacing w:after="0" w:line="240" w:lineRule="auto"/>
        <w:jc w:val="both"/>
        <w:rPr>
          <w:rFonts w:asciiTheme="majorHAnsi" w:eastAsia="Calibri" w:hAnsiTheme="majorHAnsi" w:cstheme="majorHAnsi"/>
        </w:rPr>
      </w:pPr>
      <w:r w:rsidRPr="00CA5475">
        <w:rPr>
          <w:rFonts w:asciiTheme="majorHAnsi" w:eastAsia="Calibri" w:hAnsiTheme="majorHAnsi" w:cstheme="majorHAnsi"/>
        </w:rPr>
        <w:t>De acuerdo con los artículos 33 y 35 de la Ley 1876/2017 relacionados con la habilitación y contratación de la EPSEAS que ejecutarán la extensión agropecuaria, se plantea el proceso de habilitación</w:t>
      </w:r>
      <w:r>
        <w:rPr>
          <w:rFonts w:asciiTheme="majorHAnsi" w:eastAsia="Calibri" w:hAnsiTheme="majorHAnsi" w:cstheme="majorHAnsi"/>
        </w:rPr>
        <w:t xml:space="preserve"> por parte de la ADR,</w:t>
      </w:r>
      <w:r w:rsidRPr="00CA5475">
        <w:rPr>
          <w:rFonts w:asciiTheme="majorHAnsi" w:eastAsia="Calibri" w:hAnsiTheme="majorHAnsi" w:cstheme="majorHAnsi"/>
        </w:rPr>
        <w:t xml:space="preserve"> incluyendo los siguientes pasos:</w:t>
      </w:r>
    </w:p>
    <w:p w14:paraId="76BC88CA" w14:textId="77777777" w:rsidR="00A830DB" w:rsidRPr="00CA5475" w:rsidRDefault="00A830DB" w:rsidP="00A830DB">
      <w:pPr>
        <w:spacing w:after="0" w:line="240" w:lineRule="auto"/>
        <w:jc w:val="both"/>
        <w:rPr>
          <w:rFonts w:asciiTheme="majorHAnsi" w:eastAsia="Calibri" w:hAnsiTheme="majorHAnsi" w:cstheme="majorHAnsi"/>
        </w:rPr>
      </w:pPr>
    </w:p>
    <w:p w14:paraId="39D8B155" w14:textId="558E9215" w:rsidR="00A830DB" w:rsidRPr="00CA5475" w:rsidRDefault="00A830DB" w:rsidP="00EA162D">
      <w:pPr>
        <w:pStyle w:val="Prrafodelista"/>
        <w:numPr>
          <w:ilvl w:val="0"/>
          <w:numId w:val="13"/>
        </w:numPr>
        <w:spacing w:after="0" w:line="240" w:lineRule="auto"/>
        <w:ind w:left="360"/>
        <w:jc w:val="both"/>
        <w:rPr>
          <w:rFonts w:asciiTheme="majorHAnsi" w:hAnsiTheme="majorHAnsi" w:cstheme="majorHAnsi"/>
          <w:lang w:val="es-MX"/>
        </w:rPr>
      </w:pPr>
      <w:r w:rsidRPr="00CA5475">
        <w:rPr>
          <w:rFonts w:asciiTheme="majorHAnsi" w:hAnsiTheme="majorHAnsi" w:cstheme="majorHAnsi"/>
          <w:b/>
          <w:lang w:val="es-MX"/>
        </w:rPr>
        <w:t>Elaborar requisitos habilitantes para las EPSEA</w:t>
      </w:r>
      <w:r w:rsidRPr="00CA5475">
        <w:rPr>
          <w:rFonts w:asciiTheme="majorHAnsi" w:hAnsiTheme="majorHAnsi" w:cstheme="majorHAnsi"/>
          <w:lang w:val="es-MX"/>
        </w:rPr>
        <w:t>. Esta actividad se encontrará en cabeza de la Dirección d</w:t>
      </w:r>
      <w:r w:rsidR="00362A82">
        <w:rPr>
          <w:rFonts w:asciiTheme="majorHAnsi" w:hAnsiTheme="majorHAnsi" w:cstheme="majorHAnsi"/>
          <w:lang w:val="es-MX"/>
        </w:rPr>
        <w:t xml:space="preserve">e Asistencia Técnica de la ADR. Para esto se plantea la expedición de un </w:t>
      </w:r>
      <w:r w:rsidRPr="00CA5475">
        <w:rPr>
          <w:rFonts w:asciiTheme="majorHAnsi" w:hAnsiTheme="majorHAnsi" w:cstheme="majorHAnsi"/>
          <w:lang w:val="es-MX"/>
        </w:rPr>
        <w:t xml:space="preserve">acto administrativo mediante el cual se defina el procedimiento a seguir por las entidades que se encuentren interesadas en habilitarse como entidades prestadoras del servicio de extensión agropecuaria en el territorio, así como los tiempos en los que se incurriría  para la publicación oficial de las que cumplan los requerimientos solicitados por la Agencia. </w:t>
      </w:r>
    </w:p>
    <w:p w14:paraId="4917DEC6" w14:textId="77777777" w:rsidR="00A830DB" w:rsidRPr="00CA5475" w:rsidRDefault="00A830DB" w:rsidP="00A830DB">
      <w:pPr>
        <w:pStyle w:val="Prrafodelista"/>
        <w:ind w:left="360"/>
        <w:jc w:val="both"/>
        <w:rPr>
          <w:rFonts w:asciiTheme="majorHAnsi" w:hAnsiTheme="majorHAnsi" w:cstheme="majorHAnsi"/>
          <w:lang w:val="es-MX"/>
        </w:rPr>
      </w:pPr>
    </w:p>
    <w:p w14:paraId="6487C0CF" w14:textId="1006F9B6" w:rsidR="00A830DB" w:rsidRPr="00CA5475" w:rsidRDefault="00A830DB" w:rsidP="00EA162D">
      <w:pPr>
        <w:pStyle w:val="Prrafodelista"/>
        <w:numPr>
          <w:ilvl w:val="0"/>
          <w:numId w:val="13"/>
        </w:numPr>
        <w:spacing w:after="0" w:line="240" w:lineRule="auto"/>
        <w:ind w:left="360"/>
        <w:jc w:val="both"/>
        <w:rPr>
          <w:rFonts w:asciiTheme="majorHAnsi" w:hAnsiTheme="majorHAnsi" w:cstheme="majorHAnsi"/>
          <w:lang w:val="es-MX"/>
        </w:rPr>
      </w:pPr>
      <w:r w:rsidRPr="00CA5475">
        <w:rPr>
          <w:rFonts w:asciiTheme="majorHAnsi" w:hAnsiTheme="majorHAnsi" w:cstheme="majorHAnsi"/>
          <w:b/>
          <w:lang w:val="es-MX"/>
        </w:rPr>
        <w:t>Registrar la documentación para acreditar requisitos habilitantes.</w:t>
      </w:r>
      <w:r w:rsidRPr="00CA5475">
        <w:rPr>
          <w:rFonts w:asciiTheme="majorHAnsi" w:hAnsiTheme="majorHAnsi" w:cstheme="majorHAnsi"/>
          <w:lang w:val="es-MX"/>
        </w:rPr>
        <w:t xml:space="preserve"> Una vez se cuente con el sistema de recepción de los documentos habilitantes por parte de las EPSEA, están tendrán que allegar la solicitud acompañada con los requisitos dispuestos en el acto administrativo a la Unidad Técnica Territorial (UTT) de la Agencia de Desarrollo Rural (ADR) más cercana, en la cual se llevará acabo el registro y verificación de la documentación allegada, posteriormente y mediante oficio dirigido por el Director de la UTT, se  remitirá a la Dirección de Asistencia Técnica el acta de verificación de requisitos mínimos con la firma del profesional que adelantó el proceso, así como los documentos soportes. Cabe resaltar que con el propósito de realizar un proceso ágil y haciendo uso de las tecnologías de la información y comunicación (TIC) se diseñará una plataforma electrónica en donde se realice el cargue y verificación de la documentación radicada. </w:t>
      </w:r>
    </w:p>
    <w:p w14:paraId="46FCB9B6" w14:textId="77777777" w:rsidR="00A830DB" w:rsidRPr="00CA5475" w:rsidRDefault="00A830DB" w:rsidP="00A830DB">
      <w:pPr>
        <w:pStyle w:val="Prrafodelista"/>
        <w:ind w:left="437"/>
        <w:jc w:val="both"/>
        <w:rPr>
          <w:rFonts w:asciiTheme="majorHAnsi" w:hAnsiTheme="majorHAnsi" w:cstheme="majorHAnsi"/>
          <w:lang w:val="es-MX"/>
        </w:rPr>
      </w:pPr>
    </w:p>
    <w:p w14:paraId="686D6643" w14:textId="3C1E0AB9" w:rsidR="00A830DB" w:rsidRPr="00CA5475" w:rsidRDefault="00A830DB" w:rsidP="00EA162D">
      <w:pPr>
        <w:pStyle w:val="Prrafodelista"/>
        <w:numPr>
          <w:ilvl w:val="0"/>
          <w:numId w:val="13"/>
        </w:numPr>
        <w:spacing w:after="0" w:line="240" w:lineRule="auto"/>
        <w:ind w:left="360"/>
        <w:jc w:val="both"/>
        <w:rPr>
          <w:rFonts w:asciiTheme="majorHAnsi" w:hAnsiTheme="majorHAnsi" w:cstheme="majorHAnsi"/>
          <w:lang w:val="es-MX"/>
        </w:rPr>
      </w:pPr>
      <w:r w:rsidRPr="00CA5475">
        <w:rPr>
          <w:rFonts w:asciiTheme="majorHAnsi" w:hAnsiTheme="majorHAnsi" w:cstheme="majorHAnsi"/>
          <w:b/>
          <w:lang w:val="es-MX"/>
        </w:rPr>
        <w:t>Revisar documentos habilitantes por parte de la Dirección de Asistencia Técnica – ADR.</w:t>
      </w:r>
      <w:r w:rsidRPr="00CA5475">
        <w:rPr>
          <w:rFonts w:asciiTheme="majorHAnsi" w:hAnsiTheme="majorHAnsi" w:cstheme="majorHAnsi"/>
          <w:lang w:val="es-MX"/>
        </w:rPr>
        <w:t xml:space="preserve"> Una vez se cuente con el acta de verificación inicial por parte de la UTT y los documentos de habilitación allegados por la EPSEA, se procederá por parte de la Dirección de Asistencia Técnica la validación de los requisitos </w:t>
      </w:r>
      <w:r w:rsidR="00A4223E">
        <w:rPr>
          <w:rFonts w:asciiTheme="majorHAnsi" w:hAnsiTheme="majorHAnsi" w:cstheme="majorHAnsi"/>
          <w:lang w:val="es-MX"/>
        </w:rPr>
        <w:t>de habilitación</w:t>
      </w:r>
      <w:r w:rsidRPr="00CA5475">
        <w:rPr>
          <w:rFonts w:asciiTheme="majorHAnsi" w:hAnsiTheme="majorHAnsi" w:cstheme="majorHAnsi"/>
          <w:lang w:val="es-MX"/>
        </w:rPr>
        <w:t xml:space="preserve"> con el propósito de continuar con el proceso de habilitación. </w:t>
      </w:r>
    </w:p>
    <w:p w14:paraId="47F90ECD" w14:textId="77777777" w:rsidR="00A830DB" w:rsidRPr="00CA5475" w:rsidRDefault="00A830DB" w:rsidP="00A830DB">
      <w:pPr>
        <w:pStyle w:val="Prrafodelista"/>
        <w:ind w:left="360"/>
        <w:jc w:val="both"/>
        <w:rPr>
          <w:rFonts w:asciiTheme="majorHAnsi" w:hAnsiTheme="majorHAnsi" w:cstheme="majorHAnsi"/>
          <w:lang w:val="es-MX"/>
        </w:rPr>
      </w:pPr>
    </w:p>
    <w:p w14:paraId="38B9AEFB" w14:textId="77777777" w:rsidR="00A830DB" w:rsidRPr="00CA5475" w:rsidRDefault="00A830DB" w:rsidP="00EA162D">
      <w:pPr>
        <w:pStyle w:val="Prrafodelista"/>
        <w:numPr>
          <w:ilvl w:val="0"/>
          <w:numId w:val="13"/>
        </w:numPr>
        <w:spacing w:after="0" w:line="240" w:lineRule="auto"/>
        <w:ind w:left="360"/>
        <w:jc w:val="both"/>
        <w:rPr>
          <w:rFonts w:asciiTheme="majorHAnsi" w:hAnsiTheme="majorHAnsi" w:cstheme="majorHAnsi"/>
          <w:lang w:val="es-MX"/>
        </w:rPr>
      </w:pPr>
      <w:r w:rsidRPr="00CA5475">
        <w:rPr>
          <w:rFonts w:asciiTheme="majorHAnsi" w:hAnsiTheme="majorHAnsi" w:cstheme="majorHAnsi"/>
          <w:b/>
          <w:lang w:val="es-MX"/>
        </w:rPr>
        <w:t>Subsanar la documentación para la habilitación.</w:t>
      </w:r>
      <w:r w:rsidRPr="00CA5475">
        <w:rPr>
          <w:rFonts w:asciiTheme="majorHAnsi" w:hAnsiTheme="majorHAnsi" w:cstheme="majorHAnsi"/>
          <w:lang w:val="es-MX"/>
        </w:rPr>
        <w:t xml:space="preserve"> Una vez se cuente con la revisión de la documentación y se dé lugar a aclaraciones y subsanaciones por parte de la EPSEA se solicitará mediante oficio allegar la información solicitada, con el propósito de continuar con el proceso de habilitación, cabe resaltar que los tiempos para subsanar y evaluar estarán descritos en el acto administrativo que genere la Agencia de Desarrollo Rural. </w:t>
      </w:r>
    </w:p>
    <w:p w14:paraId="467AAB39" w14:textId="77777777" w:rsidR="00A830DB" w:rsidRPr="00CA5475" w:rsidRDefault="00A830DB" w:rsidP="00A830DB">
      <w:pPr>
        <w:pStyle w:val="Prrafodelista"/>
        <w:spacing w:after="0" w:line="240" w:lineRule="auto"/>
        <w:ind w:left="360"/>
        <w:jc w:val="both"/>
        <w:rPr>
          <w:rFonts w:asciiTheme="majorHAnsi" w:hAnsiTheme="majorHAnsi" w:cstheme="majorHAnsi"/>
          <w:lang w:val="es-MX"/>
        </w:rPr>
      </w:pPr>
    </w:p>
    <w:p w14:paraId="6B0793F4" w14:textId="77777777" w:rsidR="00A830DB" w:rsidRPr="00CA5475" w:rsidRDefault="00A830DB" w:rsidP="00EA162D">
      <w:pPr>
        <w:pStyle w:val="Prrafodelista"/>
        <w:numPr>
          <w:ilvl w:val="0"/>
          <w:numId w:val="13"/>
        </w:numPr>
        <w:spacing w:after="0" w:line="240" w:lineRule="auto"/>
        <w:ind w:left="360"/>
        <w:jc w:val="both"/>
        <w:rPr>
          <w:rFonts w:asciiTheme="majorHAnsi" w:hAnsiTheme="majorHAnsi" w:cstheme="majorHAnsi"/>
          <w:lang w:val="es-MX"/>
        </w:rPr>
      </w:pPr>
      <w:r w:rsidRPr="00CA5475">
        <w:rPr>
          <w:rFonts w:asciiTheme="majorHAnsi" w:hAnsiTheme="majorHAnsi" w:cstheme="majorHAnsi"/>
          <w:b/>
          <w:lang w:val="es-MX"/>
        </w:rPr>
        <w:t>Habilitar o rechazar la EPSEA.</w:t>
      </w:r>
      <w:r w:rsidRPr="00CA5475">
        <w:rPr>
          <w:rFonts w:asciiTheme="majorHAnsi" w:hAnsiTheme="majorHAnsi" w:cstheme="majorHAnsi"/>
          <w:lang w:val="es-MX"/>
        </w:rPr>
        <w:t xml:space="preserve"> Una vez se cuente con la información requerida y que cumpla con lo solicitado en el artículo 33 de la Ley 1876 de 2017 y el acto administrativo generado por la Agencia de Desarrollo Rural se procederá a generar el reporte de HABILITACIÓN o RECHAZO a las solicitudes presentadas. </w:t>
      </w:r>
    </w:p>
    <w:p w14:paraId="1CC3E736" w14:textId="77777777" w:rsidR="00A830DB" w:rsidRPr="00CA5475" w:rsidRDefault="00A830DB" w:rsidP="00A830DB">
      <w:pPr>
        <w:pStyle w:val="Prrafodelista"/>
        <w:ind w:left="437"/>
        <w:jc w:val="both"/>
        <w:rPr>
          <w:rFonts w:asciiTheme="majorHAnsi" w:hAnsiTheme="majorHAnsi" w:cstheme="majorHAnsi"/>
          <w:lang w:val="es-MX"/>
        </w:rPr>
      </w:pPr>
    </w:p>
    <w:p w14:paraId="2289C7EE" w14:textId="77777777" w:rsidR="00A830DB" w:rsidRPr="00CA5475" w:rsidRDefault="00A830DB" w:rsidP="00EA162D">
      <w:pPr>
        <w:pStyle w:val="Prrafodelista"/>
        <w:numPr>
          <w:ilvl w:val="0"/>
          <w:numId w:val="13"/>
        </w:numPr>
        <w:spacing w:after="0" w:line="240" w:lineRule="auto"/>
        <w:ind w:left="360"/>
        <w:jc w:val="both"/>
        <w:rPr>
          <w:rFonts w:asciiTheme="majorHAnsi" w:hAnsiTheme="majorHAnsi" w:cstheme="majorHAnsi"/>
          <w:lang w:val="es-MX"/>
        </w:rPr>
      </w:pPr>
      <w:r w:rsidRPr="00CA5475">
        <w:rPr>
          <w:rFonts w:asciiTheme="majorHAnsi" w:hAnsiTheme="majorHAnsi" w:cstheme="majorHAnsi"/>
          <w:b/>
          <w:lang w:val="es-MX"/>
        </w:rPr>
        <w:t>Elaborar, publicar y actualizar el registro de las EPSEA habilitadas.</w:t>
      </w:r>
      <w:r w:rsidRPr="00CA5475">
        <w:rPr>
          <w:rFonts w:asciiTheme="majorHAnsi" w:hAnsiTheme="majorHAnsi" w:cstheme="majorHAnsi"/>
          <w:lang w:val="es-MX"/>
        </w:rPr>
        <w:t xml:space="preserve"> Una vez se cuente con las EPSEA habilitadas, se procederá a publicar en la página de la Agencia de Desarrollo Rural el listado de las EPSEA que se encuentran aprobadas para prestar el servicio de extensión agropecuaria. Las periodicidades de publicación del listado de las EPSEA serán presentadas en el acto administrativo que genere la ADR.</w:t>
      </w:r>
    </w:p>
    <w:p w14:paraId="1AC7A99D" w14:textId="77777777" w:rsidR="00A830DB" w:rsidRPr="00CA5475" w:rsidRDefault="00A830DB" w:rsidP="00A830DB">
      <w:pPr>
        <w:spacing w:after="0" w:line="240" w:lineRule="auto"/>
        <w:jc w:val="both"/>
        <w:rPr>
          <w:rFonts w:asciiTheme="majorHAnsi" w:eastAsia="Calibri" w:hAnsiTheme="majorHAnsi" w:cstheme="majorHAnsi"/>
        </w:rPr>
      </w:pPr>
    </w:p>
    <w:p w14:paraId="57C8C4BB" w14:textId="77777777" w:rsidR="00A830DB" w:rsidRDefault="00A830DB" w:rsidP="002A52C9">
      <w:pPr>
        <w:pStyle w:val="Sinespaciado"/>
        <w:jc w:val="both"/>
        <w:rPr>
          <w:rFonts w:asciiTheme="majorHAnsi" w:hAnsiTheme="majorHAnsi" w:cstheme="majorHAnsi"/>
          <w:i/>
          <w:color w:val="FF0000"/>
        </w:rPr>
      </w:pPr>
    </w:p>
    <w:p w14:paraId="2659027A" w14:textId="77777777" w:rsidR="00FE410F" w:rsidRPr="00C71ACB" w:rsidRDefault="00FE410F" w:rsidP="002A52C9">
      <w:pPr>
        <w:pStyle w:val="Sinespaciado"/>
        <w:jc w:val="both"/>
        <w:rPr>
          <w:rFonts w:asciiTheme="majorHAnsi" w:hAnsiTheme="majorHAnsi" w:cstheme="majorHAnsi"/>
        </w:rPr>
      </w:pPr>
    </w:p>
    <w:p w14:paraId="3DA4F7F4" w14:textId="20FBBC4B" w:rsidR="004F578D" w:rsidRPr="00A73608" w:rsidRDefault="00F95CC3" w:rsidP="00EA162D">
      <w:pPr>
        <w:pStyle w:val="Prrafodelista"/>
        <w:numPr>
          <w:ilvl w:val="1"/>
          <w:numId w:val="9"/>
        </w:numPr>
        <w:shd w:val="clear" w:color="auto" w:fill="DEEAF6" w:themeFill="accent5" w:themeFillTint="33"/>
        <w:jc w:val="both"/>
        <w:outlineLvl w:val="1"/>
        <w:rPr>
          <w:rFonts w:asciiTheme="majorHAnsi" w:hAnsiTheme="majorHAnsi" w:cstheme="majorHAnsi"/>
          <w:b/>
          <w:i/>
        </w:rPr>
      </w:pPr>
      <w:bookmarkStart w:id="83" w:name="_Toc4680878"/>
      <w:r w:rsidRPr="00A73608">
        <w:rPr>
          <w:rFonts w:asciiTheme="majorHAnsi" w:hAnsiTheme="majorHAnsi" w:cstheme="majorHAnsi"/>
          <w:b/>
          <w:i/>
        </w:rPr>
        <w:t>Estrategia 2</w:t>
      </w:r>
      <w:r w:rsidR="004F578D" w:rsidRPr="00A73608">
        <w:rPr>
          <w:rFonts w:asciiTheme="majorHAnsi" w:hAnsiTheme="majorHAnsi" w:cstheme="majorHAnsi"/>
          <w:b/>
          <w:i/>
        </w:rPr>
        <w:t xml:space="preserve">. </w:t>
      </w:r>
      <w:r w:rsidR="003A60A8">
        <w:rPr>
          <w:rFonts w:asciiTheme="majorHAnsi" w:hAnsiTheme="majorHAnsi" w:cstheme="majorHAnsi"/>
          <w:b/>
          <w:i/>
        </w:rPr>
        <w:t>Prestación del servicio de extensión agropecuaria</w:t>
      </w:r>
      <w:bookmarkEnd w:id="83"/>
    </w:p>
    <w:p w14:paraId="562B505E" w14:textId="77777777" w:rsidR="005B2752" w:rsidRDefault="005B2752" w:rsidP="0024660E">
      <w:pPr>
        <w:pStyle w:val="Sinespaciado"/>
        <w:jc w:val="both"/>
        <w:outlineLvl w:val="2"/>
        <w:rPr>
          <w:rFonts w:asciiTheme="majorHAnsi" w:hAnsiTheme="majorHAnsi" w:cstheme="majorHAnsi"/>
          <w:b/>
          <w:i/>
        </w:rPr>
      </w:pPr>
    </w:p>
    <w:p w14:paraId="5075D57C" w14:textId="753C3EEE" w:rsidR="00FC0AED" w:rsidRPr="005B2752" w:rsidRDefault="0024660E" w:rsidP="0024660E">
      <w:pPr>
        <w:pStyle w:val="Sinespaciado"/>
        <w:jc w:val="both"/>
        <w:outlineLvl w:val="2"/>
        <w:rPr>
          <w:rFonts w:asciiTheme="majorHAnsi" w:hAnsiTheme="majorHAnsi" w:cstheme="majorHAnsi"/>
          <w:b/>
          <w:i/>
        </w:rPr>
      </w:pPr>
      <w:bookmarkStart w:id="84" w:name="_Toc4680879"/>
      <w:r w:rsidRPr="005B2752">
        <w:rPr>
          <w:rFonts w:asciiTheme="majorHAnsi" w:hAnsiTheme="majorHAnsi" w:cstheme="majorHAnsi"/>
          <w:b/>
          <w:i/>
        </w:rPr>
        <w:t>Acción 2.1 Registro y clasificación de usuarios de extensión agropecuaria</w:t>
      </w:r>
      <w:bookmarkEnd w:id="84"/>
    </w:p>
    <w:p w14:paraId="34C10527" w14:textId="77777777" w:rsidR="0024660E" w:rsidRPr="005B2752" w:rsidRDefault="0024660E" w:rsidP="008F3456">
      <w:pPr>
        <w:pStyle w:val="Sinespaciado"/>
        <w:ind w:left="360"/>
        <w:jc w:val="both"/>
        <w:outlineLvl w:val="2"/>
        <w:rPr>
          <w:rFonts w:asciiTheme="majorHAnsi" w:hAnsiTheme="majorHAnsi" w:cstheme="majorHAnsi"/>
          <w:i/>
        </w:rPr>
      </w:pPr>
    </w:p>
    <w:p w14:paraId="0CC50DED" w14:textId="77777777" w:rsidR="00E26DB8" w:rsidRPr="005B2752" w:rsidRDefault="00E26DB8" w:rsidP="00E26DB8">
      <w:pPr>
        <w:pStyle w:val="Sinespaciado"/>
        <w:jc w:val="both"/>
        <w:rPr>
          <w:rFonts w:ascii="Calibri Light" w:hAnsi="Calibri Light"/>
        </w:rPr>
      </w:pPr>
      <w:bookmarkStart w:id="85" w:name="_Ref505763897"/>
      <w:bookmarkStart w:id="86" w:name="_Toc508126665"/>
      <w:r w:rsidRPr="005B2752">
        <w:rPr>
          <w:rFonts w:ascii="Calibri Light" w:hAnsi="Calibri Light"/>
        </w:rPr>
        <w:t>De acuerdo con el Artículo 30 de la Ley 1876 de 2017, el Ministerio de Agricultura y Desarrollo Rural definirá la clasificación de usuarios de extensión agropecuaria para las diferentes actividades productivas (agrícolas, pecuarias, pesca y acuicultura, silvicultura y aprovechamiento de madera), por lo cual, en coordinación con la Agencia de Desarrollo Rural, conforme lo dispuesto en el Artículo 5.3 de la Resolución 407 de 2018, se definieron los criterios de calificación de capacidades y condiciones de los usuarios, con el fin de clasificarlos en 4 niveles por cada uno de los aspectos del enfoque para la prestación del referido servicio público.</w:t>
      </w:r>
    </w:p>
    <w:p w14:paraId="583E8F7A" w14:textId="77777777" w:rsidR="00155700" w:rsidRDefault="00155700" w:rsidP="00E26DB8">
      <w:pPr>
        <w:rPr>
          <w:rFonts w:ascii="Calibri Light" w:hAnsi="Calibri Light"/>
        </w:rPr>
      </w:pPr>
    </w:p>
    <w:p w14:paraId="59C79610" w14:textId="5B3918DE" w:rsidR="00E26DB8" w:rsidRPr="00EC2491" w:rsidRDefault="00E26DB8" w:rsidP="00E26DB8">
      <w:pPr>
        <w:rPr>
          <w:rFonts w:ascii="Calibri Light" w:hAnsi="Calibri Light"/>
        </w:rPr>
      </w:pPr>
      <w:r w:rsidRPr="005B2752">
        <w:rPr>
          <w:rFonts w:ascii="Calibri Light" w:hAnsi="Calibri Light"/>
        </w:rPr>
        <w:t xml:space="preserve">En la siguiente </w:t>
      </w:r>
      <w:r w:rsidR="0083487D">
        <w:rPr>
          <w:rFonts w:ascii="Calibri Light" w:hAnsi="Calibri Light"/>
        </w:rPr>
        <w:t>ilustración</w:t>
      </w:r>
      <w:r w:rsidRPr="005B2752">
        <w:rPr>
          <w:rFonts w:ascii="Calibri Light" w:hAnsi="Calibri Light"/>
        </w:rPr>
        <w:t xml:space="preserve"> se presentan los componentes a calificar por cada aspecto del enfoque.</w:t>
      </w:r>
    </w:p>
    <w:p w14:paraId="75A1B425" w14:textId="7153C4BC" w:rsidR="00E26DB8" w:rsidRPr="005B2752" w:rsidRDefault="00E26DB8" w:rsidP="00E26DB8">
      <w:r w:rsidRPr="005B2752">
        <w:rPr>
          <w:noProof/>
          <w:lang w:eastAsia="es-CO"/>
        </w:rPr>
        <w:drawing>
          <wp:inline distT="0" distB="0" distL="0" distR="0" wp14:anchorId="19A5E814" wp14:editId="2982BE79">
            <wp:extent cx="5556756" cy="2178677"/>
            <wp:effectExtent l="0" t="0" r="6350" b="0"/>
            <wp:docPr id="7" name="Imagen 7" descr="cid:image001.png@01D4E577.A2472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4E577.A2472E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79934" cy="2187765"/>
                    </a:xfrm>
                    <a:prstGeom prst="rect">
                      <a:avLst/>
                    </a:prstGeom>
                    <a:noFill/>
                    <a:ln>
                      <a:noFill/>
                    </a:ln>
                  </pic:spPr>
                </pic:pic>
              </a:graphicData>
            </a:graphic>
          </wp:inline>
        </w:drawing>
      </w:r>
    </w:p>
    <w:p w14:paraId="352A2C80" w14:textId="006B724E" w:rsidR="00EC2491" w:rsidRPr="005B2752" w:rsidRDefault="00EC2491" w:rsidP="00EC2491">
      <w:pPr>
        <w:pStyle w:val="Sinespaciado"/>
        <w:jc w:val="center"/>
        <w:rPr>
          <w:rFonts w:asciiTheme="majorHAnsi" w:hAnsiTheme="majorHAnsi" w:cstheme="majorHAnsi"/>
        </w:rPr>
      </w:pPr>
      <w:r>
        <w:rPr>
          <w:rFonts w:asciiTheme="majorHAnsi" w:hAnsiTheme="majorHAnsi" w:cstheme="majorHAnsi"/>
          <w:b/>
        </w:rPr>
        <w:t>Ilustración 2</w:t>
      </w:r>
      <w:r w:rsidRPr="005B2752">
        <w:rPr>
          <w:rFonts w:asciiTheme="majorHAnsi" w:hAnsiTheme="majorHAnsi" w:cstheme="majorHAnsi"/>
          <w:b/>
        </w:rPr>
        <w:t>.</w:t>
      </w:r>
      <w:r w:rsidRPr="005B2752">
        <w:rPr>
          <w:rFonts w:asciiTheme="majorHAnsi" w:hAnsiTheme="majorHAnsi" w:cstheme="majorHAnsi"/>
        </w:rPr>
        <w:t xml:space="preserve"> Componentes para realizar el registro y clasificación de usuarios de extensión agropecuaria.</w:t>
      </w:r>
    </w:p>
    <w:p w14:paraId="5788F0D7" w14:textId="77777777" w:rsidR="00E26DB8" w:rsidRPr="005B2752" w:rsidRDefault="00E26DB8" w:rsidP="00E26DB8"/>
    <w:p w14:paraId="3B8C5C9F" w14:textId="77777777" w:rsidR="00E26DB8" w:rsidRPr="005B2752" w:rsidRDefault="00E26DB8" w:rsidP="00E26DB8">
      <w:pPr>
        <w:jc w:val="both"/>
        <w:rPr>
          <w:rFonts w:ascii="Calibri Light" w:hAnsi="Calibri Light"/>
        </w:rPr>
      </w:pPr>
      <w:r w:rsidRPr="005B2752">
        <w:rPr>
          <w:rFonts w:ascii="Calibri Light" w:hAnsi="Calibri Light"/>
        </w:rPr>
        <w:t>En lo referente al registro de usuarios del servicio público de extensión agropecuaria, de acuerdo con el Artículo 31 de la Ley 1876 de 2017, los responsables de adelantarlo serán los municipios y distritos, en la herramienta dispuesta por el MADR, los departamentos velarán por su actualización prioritaria en los 3 primeros meses de cada año. La Agencia de Desarrollo Rural administrará el registro, y gestionará la articulación de información de los productores en conjunto con el Ministerio.</w:t>
      </w:r>
    </w:p>
    <w:bookmarkEnd w:id="85"/>
    <w:bookmarkEnd w:id="86"/>
    <w:p w14:paraId="77FC608C" w14:textId="77777777" w:rsidR="00FC0AED" w:rsidRPr="00CA5475" w:rsidRDefault="00FC0AED" w:rsidP="00FC0AED">
      <w:pPr>
        <w:pStyle w:val="Sinespaciado"/>
        <w:jc w:val="both"/>
        <w:rPr>
          <w:rFonts w:asciiTheme="majorHAnsi" w:hAnsiTheme="majorHAnsi" w:cstheme="majorHAnsi"/>
          <w:i/>
        </w:rPr>
      </w:pPr>
    </w:p>
    <w:p w14:paraId="2810CEDA" w14:textId="77777777" w:rsidR="00FC0AED" w:rsidRPr="00CA5475" w:rsidRDefault="00FC0AED" w:rsidP="00FC0AED">
      <w:pPr>
        <w:pStyle w:val="Sinespaciado"/>
        <w:jc w:val="both"/>
        <w:rPr>
          <w:rFonts w:asciiTheme="majorHAnsi" w:hAnsiTheme="majorHAnsi" w:cstheme="majorHAnsi"/>
          <w:i/>
        </w:rPr>
      </w:pPr>
    </w:p>
    <w:p w14:paraId="64E58951" w14:textId="3F384A31" w:rsidR="008800A0" w:rsidRPr="00C50637" w:rsidRDefault="008800A0" w:rsidP="008800A0">
      <w:pPr>
        <w:pStyle w:val="Sinespaciado"/>
        <w:jc w:val="both"/>
        <w:outlineLvl w:val="2"/>
        <w:rPr>
          <w:rFonts w:asciiTheme="majorHAnsi" w:hAnsiTheme="majorHAnsi" w:cstheme="majorHAnsi"/>
          <w:b/>
          <w:i/>
        </w:rPr>
      </w:pPr>
      <w:bookmarkStart w:id="87" w:name="_Toc4680880"/>
      <w:r w:rsidRPr="00C50637">
        <w:rPr>
          <w:rFonts w:asciiTheme="majorHAnsi" w:hAnsiTheme="majorHAnsi" w:cstheme="majorHAnsi"/>
          <w:b/>
          <w:i/>
        </w:rPr>
        <w:t>Acción 2.2 Prestación del servicio de extensión agropecuaria</w:t>
      </w:r>
      <w:bookmarkEnd w:id="87"/>
    </w:p>
    <w:p w14:paraId="0B572122" w14:textId="77777777" w:rsidR="00664780" w:rsidRDefault="00664780" w:rsidP="00E241E5">
      <w:pPr>
        <w:pStyle w:val="Sinespaciado"/>
        <w:jc w:val="both"/>
        <w:rPr>
          <w:rFonts w:asciiTheme="majorHAnsi" w:hAnsiTheme="majorHAnsi" w:cstheme="majorHAnsi"/>
          <w:i/>
        </w:rPr>
      </w:pPr>
    </w:p>
    <w:p w14:paraId="33E2AD6B" w14:textId="421B30A5" w:rsidR="008800A0" w:rsidRDefault="00DA69DA" w:rsidP="00E241E5">
      <w:pPr>
        <w:pStyle w:val="Sinespaciado"/>
        <w:jc w:val="both"/>
        <w:rPr>
          <w:rFonts w:asciiTheme="majorHAnsi" w:hAnsiTheme="majorHAnsi" w:cstheme="majorHAnsi"/>
        </w:rPr>
      </w:pPr>
      <w:r>
        <w:rPr>
          <w:rFonts w:asciiTheme="majorHAnsi" w:hAnsiTheme="majorHAnsi" w:cstheme="majorHAnsi"/>
        </w:rPr>
        <w:t xml:space="preserve">La prestación del servicio se dará por parte de los </w:t>
      </w:r>
      <w:r w:rsidRPr="00683994">
        <w:rPr>
          <w:rFonts w:asciiTheme="majorHAnsi" w:hAnsiTheme="majorHAnsi" w:cstheme="majorHAnsi"/>
          <w:b/>
          <w:u w:val="single"/>
        </w:rPr>
        <w:t>municipios y distritos</w:t>
      </w:r>
      <w:r>
        <w:rPr>
          <w:rFonts w:asciiTheme="majorHAnsi" w:hAnsiTheme="majorHAnsi" w:cstheme="majorHAnsi"/>
        </w:rPr>
        <w:t xml:space="preserve">, según la competencia definida en el artículo 24 de la Ley 1876 de 2017. </w:t>
      </w:r>
      <w:r w:rsidR="00683994">
        <w:rPr>
          <w:rFonts w:asciiTheme="majorHAnsi" w:hAnsiTheme="majorHAnsi" w:cstheme="majorHAnsi"/>
        </w:rPr>
        <w:t>Todos los</w:t>
      </w:r>
      <w:r>
        <w:rPr>
          <w:rFonts w:asciiTheme="majorHAnsi" w:hAnsiTheme="majorHAnsi" w:cstheme="majorHAnsi"/>
        </w:rPr>
        <w:t xml:space="preserve"> usuarios</w:t>
      </w:r>
      <w:r w:rsidR="00683994">
        <w:rPr>
          <w:rFonts w:asciiTheme="majorHAnsi" w:hAnsiTheme="majorHAnsi" w:cstheme="majorHAnsi"/>
        </w:rPr>
        <w:t xml:space="preserve"> potenciales</w:t>
      </w:r>
      <w:r>
        <w:rPr>
          <w:rFonts w:asciiTheme="majorHAnsi" w:hAnsiTheme="majorHAnsi" w:cstheme="majorHAnsi"/>
        </w:rPr>
        <w:t xml:space="preserve"> a ser atendidos, </w:t>
      </w:r>
      <w:r>
        <w:rPr>
          <w:rFonts w:asciiTheme="majorHAnsi" w:hAnsiTheme="majorHAnsi" w:cstheme="majorHAnsi"/>
        </w:rPr>
        <w:lastRenderedPageBreak/>
        <w:t>deberán estar incluidos en el “Registro de usuarios de extensión agropecuaria”</w:t>
      </w:r>
      <w:r w:rsidR="00683994">
        <w:rPr>
          <w:rFonts w:asciiTheme="majorHAnsi" w:hAnsiTheme="majorHAnsi" w:cstheme="majorHAnsi"/>
        </w:rPr>
        <w:t xml:space="preserve">, ya que esta información será uno de los insumos de los departamentos para priorizar los usuarios a ser atendidos en el marco de </w:t>
      </w:r>
      <w:r>
        <w:rPr>
          <w:rFonts w:asciiTheme="majorHAnsi" w:hAnsiTheme="majorHAnsi" w:cstheme="majorHAnsi"/>
        </w:rPr>
        <w:t xml:space="preserve">la ejecución de los Planes Departamentales de Extensión Agropecuaria (PDEA). </w:t>
      </w:r>
    </w:p>
    <w:p w14:paraId="35E1EE52" w14:textId="77777777" w:rsidR="00DC0A62" w:rsidRDefault="00DC0A62" w:rsidP="00E241E5">
      <w:pPr>
        <w:pStyle w:val="Sinespaciado"/>
        <w:jc w:val="both"/>
        <w:rPr>
          <w:rFonts w:asciiTheme="majorHAnsi" w:hAnsiTheme="majorHAnsi" w:cstheme="majorHAnsi"/>
        </w:rPr>
      </w:pPr>
    </w:p>
    <w:p w14:paraId="5C621833" w14:textId="7ECD9823" w:rsidR="00146EC7" w:rsidRDefault="00146EC7" w:rsidP="00E241E5">
      <w:pPr>
        <w:pStyle w:val="Sinespaciado"/>
        <w:jc w:val="both"/>
        <w:rPr>
          <w:rFonts w:asciiTheme="majorHAnsi" w:hAnsiTheme="majorHAnsi" w:cstheme="majorHAnsi"/>
        </w:rPr>
      </w:pPr>
      <w:r>
        <w:rPr>
          <w:rFonts w:asciiTheme="majorHAnsi" w:hAnsiTheme="majorHAnsi" w:cstheme="majorHAnsi"/>
        </w:rPr>
        <w:t xml:space="preserve">Este esquema, quedó plasmado en el Anexo de la de la Resolución 407 de 2018 sobre el PDEA: </w:t>
      </w:r>
    </w:p>
    <w:p w14:paraId="5BEBC411" w14:textId="77777777" w:rsidR="00146EC7" w:rsidRDefault="00146EC7" w:rsidP="00E241E5">
      <w:pPr>
        <w:pStyle w:val="Sinespaciado"/>
        <w:jc w:val="both"/>
        <w:rPr>
          <w:rFonts w:asciiTheme="majorHAnsi" w:hAnsiTheme="majorHAnsi" w:cstheme="majorHAnsi"/>
        </w:rPr>
      </w:pPr>
    </w:p>
    <w:p w14:paraId="7B102141" w14:textId="3F5F687B" w:rsidR="00DC0A62" w:rsidRPr="00D21604" w:rsidRDefault="00146EC7" w:rsidP="00DC0A62">
      <w:pPr>
        <w:pStyle w:val="Sinespaciado"/>
        <w:jc w:val="both"/>
        <w:rPr>
          <w:rFonts w:asciiTheme="majorHAnsi" w:hAnsiTheme="majorHAnsi" w:cstheme="majorHAnsi"/>
          <w:b/>
          <w:i/>
        </w:rPr>
      </w:pPr>
      <w:r>
        <w:rPr>
          <w:rFonts w:asciiTheme="majorHAnsi" w:hAnsiTheme="majorHAnsi" w:cstheme="majorHAnsi"/>
        </w:rPr>
        <w:t xml:space="preserve"> </w:t>
      </w:r>
      <w:r w:rsidR="00D21604" w:rsidRPr="00D21604">
        <w:rPr>
          <w:rFonts w:asciiTheme="majorHAnsi" w:hAnsiTheme="majorHAnsi" w:cstheme="majorHAnsi"/>
          <w:b/>
          <w:i/>
        </w:rPr>
        <w:t>“</w:t>
      </w:r>
      <w:r w:rsidR="00542ACF" w:rsidRPr="00D21604">
        <w:rPr>
          <w:rFonts w:asciiTheme="majorHAnsi" w:hAnsiTheme="majorHAnsi" w:cstheme="majorHAnsi"/>
          <w:b/>
          <w:i/>
        </w:rPr>
        <w:t>Primer lineamiento para la Formulación de los PDEA</w:t>
      </w:r>
    </w:p>
    <w:p w14:paraId="391DDCE8" w14:textId="77777777" w:rsidR="00542ACF" w:rsidRPr="00D21604" w:rsidRDefault="00542ACF" w:rsidP="00DC0A62">
      <w:pPr>
        <w:pStyle w:val="Sinespaciado"/>
        <w:jc w:val="both"/>
        <w:rPr>
          <w:rFonts w:asciiTheme="majorHAnsi" w:hAnsiTheme="majorHAnsi" w:cstheme="majorHAnsi"/>
          <w:i/>
        </w:rPr>
      </w:pPr>
    </w:p>
    <w:p w14:paraId="4F2F211F" w14:textId="77777777" w:rsidR="00D21604" w:rsidRPr="00D21604" w:rsidRDefault="00D21604" w:rsidP="00D21604">
      <w:pPr>
        <w:pStyle w:val="Sinespaciado"/>
        <w:jc w:val="both"/>
        <w:rPr>
          <w:rFonts w:asciiTheme="majorHAnsi" w:hAnsiTheme="majorHAnsi" w:cstheme="majorHAnsi"/>
          <w:i/>
        </w:rPr>
      </w:pPr>
      <w:r w:rsidRPr="00D21604">
        <w:rPr>
          <w:rFonts w:asciiTheme="majorHAnsi" w:hAnsiTheme="majorHAnsi" w:cstheme="majorHAnsi"/>
          <w:i/>
        </w:rPr>
        <w:t xml:space="preserve">El PDEA debe contemplar otras herramientas que contribuyen a la comprensión de las distintas dinámicas en el territorio, con las cuales debe guardar coherencia. Por lo tanto, el plan debe prever la forma a partir de la cual dichos instrumentos son revisados e incorporados en los procesos de planificación de la extensión agropecuaria del departamento. </w:t>
      </w:r>
    </w:p>
    <w:p w14:paraId="5E1691FA" w14:textId="77777777" w:rsidR="00D21604" w:rsidRPr="00D21604" w:rsidRDefault="00D21604" w:rsidP="00D21604">
      <w:pPr>
        <w:pStyle w:val="Sinespaciado"/>
        <w:jc w:val="both"/>
        <w:rPr>
          <w:rFonts w:asciiTheme="majorHAnsi" w:hAnsiTheme="majorHAnsi" w:cstheme="majorHAnsi"/>
          <w:i/>
        </w:rPr>
      </w:pPr>
    </w:p>
    <w:p w14:paraId="49B073B7" w14:textId="22EB1D5B" w:rsidR="00542ACF" w:rsidRPr="00D21604" w:rsidRDefault="00D21604" w:rsidP="00D21604">
      <w:pPr>
        <w:pStyle w:val="Sinespaciado"/>
        <w:jc w:val="both"/>
        <w:rPr>
          <w:rFonts w:asciiTheme="majorHAnsi" w:hAnsiTheme="majorHAnsi" w:cstheme="majorHAnsi"/>
          <w:i/>
        </w:rPr>
      </w:pPr>
      <w:r w:rsidRPr="00D21604">
        <w:rPr>
          <w:rFonts w:asciiTheme="majorHAnsi" w:hAnsiTheme="majorHAnsi" w:cstheme="majorHAnsi"/>
          <w:i/>
        </w:rPr>
        <w:t>En consecuencia, en la formulación del PDEA se debe realizar una lectura y análisis de los siguientes:</w:t>
      </w:r>
    </w:p>
    <w:p w14:paraId="588D0CF3" w14:textId="77777777" w:rsidR="00D21604" w:rsidRPr="00D21604" w:rsidRDefault="00D21604" w:rsidP="00D21604">
      <w:pPr>
        <w:pStyle w:val="Sinespaciado"/>
        <w:jc w:val="both"/>
        <w:rPr>
          <w:rFonts w:asciiTheme="majorHAnsi" w:hAnsiTheme="majorHAnsi" w:cstheme="majorHAnsi"/>
          <w:i/>
        </w:rPr>
      </w:pPr>
    </w:p>
    <w:p w14:paraId="36369866" w14:textId="15627230" w:rsidR="00D21604" w:rsidRPr="00D21604" w:rsidRDefault="00D21604" w:rsidP="00D21604">
      <w:pPr>
        <w:pStyle w:val="Sinespaciado"/>
        <w:jc w:val="both"/>
        <w:rPr>
          <w:rFonts w:asciiTheme="majorHAnsi" w:hAnsiTheme="majorHAnsi" w:cstheme="majorHAnsi"/>
          <w:i/>
        </w:rPr>
      </w:pPr>
      <w:r w:rsidRPr="00D21604">
        <w:rPr>
          <w:rFonts w:asciiTheme="majorHAnsi" w:hAnsiTheme="majorHAnsi" w:cstheme="majorHAnsi"/>
          <w:i/>
        </w:rPr>
        <w:t xml:space="preserve">(…) </w:t>
      </w:r>
    </w:p>
    <w:p w14:paraId="7737DC57" w14:textId="0483B753" w:rsidR="00DC0A62" w:rsidRPr="00D21604" w:rsidRDefault="00D21604" w:rsidP="00DC0A62">
      <w:pPr>
        <w:pStyle w:val="Sinespaciado"/>
        <w:jc w:val="both"/>
        <w:rPr>
          <w:rFonts w:asciiTheme="majorHAnsi" w:hAnsiTheme="majorHAnsi" w:cstheme="majorHAnsi"/>
          <w:i/>
        </w:rPr>
      </w:pPr>
      <w:r w:rsidRPr="00D21604">
        <w:rPr>
          <w:rFonts w:asciiTheme="majorHAnsi" w:hAnsiTheme="majorHAnsi" w:cstheme="majorHAnsi"/>
          <w:i/>
        </w:rPr>
        <w:t xml:space="preserve">7. </w:t>
      </w:r>
      <w:r w:rsidR="00DC0A62" w:rsidRPr="00D21604">
        <w:rPr>
          <w:rFonts w:asciiTheme="majorHAnsi" w:hAnsiTheme="majorHAnsi" w:cstheme="majorHAnsi"/>
          <w:i/>
        </w:rPr>
        <w:t>Planes de Acción para la Transformación Regional-PATR del PDET - Programa de Desarrollo con Enfoque Territorial</w:t>
      </w:r>
    </w:p>
    <w:p w14:paraId="350CE852" w14:textId="01EFCD4D" w:rsidR="00DC0A62" w:rsidRPr="00D21604" w:rsidRDefault="00D21604" w:rsidP="00DC0A62">
      <w:pPr>
        <w:pStyle w:val="Sinespaciado"/>
        <w:jc w:val="both"/>
        <w:rPr>
          <w:rFonts w:asciiTheme="majorHAnsi" w:hAnsiTheme="majorHAnsi" w:cstheme="majorHAnsi"/>
          <w:i/>
        </w:rPr>
      </w:pPr>
      <w:r w:rsidRPr="00D21604">
        <w:rPr>
          <w:rFonts w:asciiTheme="majorHAnsi" w:hAnsiTheme="majorHAnsi" w:cstheme="majorHAnsi"/>
          <w:i/>
        </w:rPr>
        <w:t xml:space="preserve">8. </w:t>
      </w:r>
      <w:r w:rsidR="00DC0A62" w:rsidRPr="00D21604">
        <w:rPr>
          <w:rFonts w:asciiTheme="majorHAnsi" w:hAnsiTheme="majorHAnsi" w:cstheme="majorHAnsi"/>
          <w:i/>
        </w:rPr>
        <w:t>Planes Integrales Comunitarios y Municipales de Sustitución y Desarrollo Alternativo - PISDA del Programa Nacional Integral de Sustitución de Cultivos de Uso Ilícito - PNIS</w:t>
      </w:r>
    </w:p>
    <w:p w14:paraId="4B396F39" w14:textId="694CAA24" w:rsidR="00DC0A62" w:rsidRPr="00D21604" w:rsidRDefault="00D21604" w:rsidP="00DC0A62">
      <w:pPr>
        <w:pStyle w:val="Sinespaciado"/>
        <w:jc w:val="both"/>
        <w:rPr>
          <w:rFonts w:asciiTheme="majorHAnsi" w:hAnsiTheme="majorHAnsi" w:cstheme="majorHAnsi"/>
          <w:i/>
        </w:rPr>
      </w:pPr>
      <w:r w:rsidRPr="00D21604">
        <w:rPr>
          <w:rFonts w:asciiTheme="majorHAnsi" w:hAnsiTheme="majorHAnsi" w:cstheme="majorHAnsi"/>
          <w:i/>
        </w:rPr>
        <w:t xml:space="preserve">9. </w:t>
      </w:r>
      <w:r w:rsidR="00DC0A62" w:rsidRPr="00D21604">
        <w:rPr>
          <w:rFonts w:asciiTheme="majorHAnsi" w:hAnsiTheme="majorHAnsi" w:cstheme="majorHAnsi"/>
          <w:i/>
        </w:rPr>
        <w:t>Planes Integrales de Desarrollo Agropecuario y Rural con enfoque territorial</w:t>
      </w:r>
      <w:r w:rsidR="005866FB">
        <w:rPr>
          <w:rFonts w:asciiTheme="majorHAnsi" w:hAnsiTheme="majorHAnsi" w:cstheme="majorHAnsi"/>
          <w:i/>
        </w:rPr>
        <w:t xml:space="preserve"> - PIDAR</w:t>
      </w:r>
    </w:p>
    <w:p w14:paraId="7CC34D69" w14:textId="373FCC2F" w:rsidR="00D21604" w:rsidRDefault="00D21604" w:rsidP="00DC0A62">
      <w:pPr>
        <w:pStyle w:val="Sinespaciado"/>
        <w:jc w:val="both"/>
        <w:rPr>
          <w:rFonts w:asciiTheme="majorHAnsi" w:hAnsiTheme="majorHAnsi" w:cstheme="majorHAnsi"/>
          <w:i/>
        </w:rPr>
      </w:pPr>
      <w:r w:rsidRPr="00D21604">
        <w:rPr>
          <w:rFonts w:asciiTheme="majorHAnsi" w:hAnsiTheme="majorHAnsi" w:cstheme="majorHAnsi"/>
          <w:i/>
        </w:rPr>
        <w:t xml:space="preserve"> (…)</w:t>
      </w:r>
    </w:p>
    <w:p w14:paraId="0377240F" w14:textId="77777777" w:rsidR="00155700" w:rsidRPr="00D21604" w:rsidRDefault="00155700" w:rsidP="00DC0A62">
      <w:pPr>
        <w:pStyle w:val="Sinespaciado"/>
        <w:jc w:val="both"/>
        <w:rPr>
          <w:rFonts w:asciiTheme="majorHAnsi" w:hAnsiTheme="majorHAnsi" w:cstheme="majorHAnsi"/>
          <w:i/>
        </w:rPr>
      </w:pPr>
    </w:p>
    <w:p w14:paraId="09DF4ACC" w14:textId="4013C110" w:rsidR="00DC0A62" w:rsidRDefault="00155700" w:rsidP="00E241E5">
      <w:pPr>
        <w:pStyle w:val="Sinespaciado"/>
        <w:jc w:val="both"/>
        <w:rPr>
          <w:rFonts w:asciiTheme="majorHAnsi" w:hAnsiTheme="majorHAnsi" w:cstheme="majorHAnsi"/>
        </w:rPr>
      </w:pPr>
      <w:r>
        <w:rPr>
          <w:rFonts w:asciiTheme="majorHAnsi" w:hAnsiTheme="majorHAnsi" w:cstheme="majorHAnsi"/>
          <w:noProof/>
          <w:lang w:eastAsia="es-CO"/>
        </w:rPr>
        <mc:AlternateContent>
          <mc:Choice Requires="wps">
            <w:drawing>
              <wp:anchor distT="0" distB="0" distL="114300" distR="114300" simplePos="0" relativeHeight="251663360" behindDoc="0" locked="0" layoutInCell="1" allowOverlap="1" wp14:anchorId="50E2680A" wp14:editId="10AACC95">
                <wp:simplePos x="0" y="0"/>
                <wp:positionH relativeFrom="margin">
                  <wp:align>right</wp:align>
                </wp:positionH>
                <wp:positionV relativeFrom="paragraph">
                  <wp:posOffset>28216</wp:posOffset>
                </wp:positionV>
                <wp:extent cx="5033176" cy="2623930"/>
                <wp:effectExtent l="0" t="0" r="15240" b="24130"/>
                <wp:wrapNone/>
                <wp:docPr id="10" name="Rectángulo 10"/>
                <wp:cNvGraphicFramePr/>
                <a:graphic xmlns:a="http://schemas.openxmlformats.org/drawingml/2006/main">
                  <a:graphicData uri="http://schemas.microsoft.com/office/word/2010/wordprocessingShape">
                    <wps:wsp>
                      <wps:cNvSpPr/>
                      <wps:spPr>
                        <a:xfrm>
                          <a:off x="0" y="0"/>
                          <a:ext cx="5033176" cy="26239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3C998" id="Rectángulo 10" o:spid="_x0000_s1026" style="position:absolute;margin-left:345.1pt;margin-top:2.2pt;width:396.3pt;height:206.6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" filled="f" strokecolor="#1f3763 [1604]" strokeweight="1pt">
                <w10:wrap anchorx="margin"/>
              </v:rect>
            </w:pict>
          </mc:Fallback>
        </mc:AlternateContent>
      </w:r>
    </w:p>
    <w:p w14:paraId="1A23A7B5" w14:textId="590D23C8" w:rsidR="008800A0" w:rsidRPr="003821EC" w:rsidRDefault="00683994" w:rsidP="00E241E5">
      <w:pPr>
        <w:pStyle w:val="Sinespaciado"/>
        <w:jc w:val="both"/>
        <w:rPr>
          <w:rFonts w:asciiTheme="majorHAnsi" w:hAnsiTheme="majorHAnsi" w:cstheme="majorHAnsi"/>
        </w:rPr>
      </w:pPr>
      <w:r>
        <w:rPr>
          <w:rFonts w:asciiTheme="majorHAnsi" w:hAnsiTheme="majorHAnsi" w:cstheme="majorHAnsi"/>
          <w:i/>
          <w:noProof/>
          <w:lang w:eastAsia="es-CO"/>
        </w:rPr>
        <mc:AlternateContent>
          <mc:Choice Requires="wps">
            <w:drawing>
              <wp:anchor distT="0" distB="0" distL="114300" distR="114300" simplePos="0" relativeHeight="251661312" behindDoc="0" locked="0" layoutInCell="1" allowOverlap="1" wp14:anchorId="6B42DFB5" wp14:editId="07C09BE2">
                <wp:simplePos x="0" y="0"/>
                <wp:positionH relativeFrom="column">
                  <wp:posOffset>2549894</wp:posOffset>
                </wp:positionH>
                <wp:positionV relativeFrom="paragraph">
                  <wp:posOffset>1583036</wp:posOffset>
                </wp:positionV>
                <wp:extent cx="1446530" cy="633730"/>
                <wp:effectExtent l="19050" t="0" r="39370" b="13970"/>
                <wp:wrapNone/>
                <wp:docPr id="4" name="Llamada de flecha izquierda y derecha 4"/>
                <wp:cNvGraphicFramePr/>
                <a:graphic xmlns:a="http://schemas.openxmlformats.org/drawingml/2006/main">
                  <a:graphicData uri="http://schemas.microsoft.com/office/word/2010/wordprocessingShape">
                    <wps:wsp>
                      <wps:cNvSpPr/>
                      <wps:spPr>
                        <a:xfrm>
                          <a:off x="0" y="0"/>
                          <a:ext cx="1446530" cy="633730"/>
                        </a:xfrm>
                        <a:prstGeom prst="leftRightArrowCallout">
                          <a:avLst>
                            <a:gd name="adj1" fmla="val 22847"/>
                            <a:gd name="adj2" fmla="val 25000"/>
                            <a:gd name="adj3" fmla="val 25000"/>
                            <a:gd name="adj4" fmla="val 68918"/>
                          </a:avLst>
                        </a:prstGeom>
                      </wps:spPr>
                      <wps:style>
                        <a:lnRef idx="1">
                          <a:schemeClr val="accent5"/>
                        </a:lnRef>
                        <a:fillRef idx="2">
                          <a:schemeClr val="accent5"/>
                        </a:fillRef>
                        <a:effectRef idx="1">
                          <a:schemeClr val="accent5"/>
                        </a:effectRef>
                        <a:fontRef idx="minor">
                          <a:schemeClr val="dk1"/>
                        </a:fontRef>
                      </wps:style>
                      <wps:txbx>
                        <w:txbxContent>
                          <w:p w14:paraId="04BAC6A3" w14:textId="4FA98401" w:rsidR="007F7D88" w:rsidRPr="00902B0F" w:rsidRDefault="007F7D88" w:rsidP="00D37FBA">
                            <w:pPr>
                              <w:jc w:val="center"/>
                              <w:rPr>
                                <w:color w:val="FFFFFF" w:themeColor="background1"/>
                                <w:sz w:val="20"/>
                              </w:rPr>
                            </w:pPr>
                            <w:r w:rsidRPr="00902B0F">
                              <w:rPr>
                                <w:color w:val="FFFFFF" w:themeColor="background1"/>
                                <w:sz w:val="20"/>
                              </w:rPr>
                              <w:t>Insumo para la formulación de los PDEA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2DFB5"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lamada de flecha izquierda y derecha 4" o:spid="_x0000_s1026" type="#_x0000_t81" style="position:absolute;left:0;text-align:left;margin-left:200.8pt;margin-top:124.65pt;width:113.9pt;height:4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" adj="3357,,2366,8333" fillcolor="#91bce3 [2168]" strokecolor="#5b9bd5 [3208]" strokeweight=".5pt">
                <v:fill color2="#7aaddd [2616]" rotate="t" colors="0 #b1cbe9;.5 #a3c1e5;1 #92b9e4" focus="100%" type="gradient">
                  <o:fill v:ext="view" type="gradientUnscaled"/>
                </v:fill>
                <v:textbox>
                  <w:txbxContent>
                    <w:p w14:paraId="04BAC6A3" w14:textId="4FA98401" w:rsidR="007F7D88" w:rsidRPr="00902B0F" w:rsidRDefault="007F7D88" w:rsidP="00D37FBA">
                      <w:pPr>
                        <w:jc w:val="center"/>
                        <w:rPr>
                          <w:color w:val="FFFFFF" w:themeColor="background1"/>
                          <w:sz w:val="20"/>
                        </w:rPr>
                      </w:pPr>
                      <w:r w:rsidRPr="00902B0F">
                        <w:rPr>
                          <w:color w:val="FFFFFF" w:themeColor="background1"/>
                          <w:sz w:val="20"/>
                        </w:rPr>
                        <w:t>Insumo para la formulación de los PDEA</w:t>
                      </w:r>
                    </w:p>
                  </w:txbxContent>
                </v:textbox>
              </v:shape>
            </w:pict>
          </mc:Fallback>
        </mc:AlternateContent>
      </w:r>
      <w:r w:rsidR="00902B0F">
        <w:rPr>
          <w:rFonts w:asciiTheme="majorHAnsi" w:hAnsiTheme="majorHAnsi" w:cstheme="majorHAnsi"/>
          <w:i/>
          <w:noProof/>
          <w:lang w:eastAsia="es-CO"/>
        </w:rPr>
        <mc:AlternateContent>
          <mc:Choice Requires="wps">
            <w:drawing>
              <wp:anchor distT="0" distB="0" distL="114300" distR="114300" simplePos="0" relativeHeight="251662336" behindDoc="0" locked="0" layoutInCell="1" allowOverlap="1" wp14:anchorId="4A6030DE" wp14:editId="6822A06C">
                <wp:simplePos x="0" y="0"/>
                <wp:positionH relativeFrom="column">
                  <wp:posOffset>4174168</wp:posOffset>
                </wp:positionH>
                <wp:positionV relativeFrom="paragraph">
                  <wp:posOffset>1344219</wp:posOffset>
                </wp:positionV>
                <wp:extent cx="1166884" cy="1049769"/>
                <wp:effectExtent l="19050" t="0" r="14605" b="17145"/>
                <wp:wrapNone/>
                <wp:docPr id="5" name="Pergamino vertical 5"/>
                <wp:cNvGraphicFramePr/>
                <a:graphic xmlns:a="http://schemas.openxmlformats.org/drawingml/2006/main">
                  <a:graphicData uri="http://schemas.microsoft.com/office/word/2010/wordprocessingShape">
                    <wps:wsp>
                      <wps:cNvSpPr/>
                      <wps:spPr>
                        <a:xfrm>
                          <a:off x="0" y="0"/>
                          <a:ext cx="1166884" cy="1049769"/>
                        </a:xfrm>
                        <a:prstGeom prst="vertic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C4B6835" w14:textId="7335DF71" w:rsidR="007F7D88" w:rsidRDefault="007F7D88" w:rsidP="00902B0F">
                            <w:pPr>
                              <w:jc w:val="center"/>
                            </w:pPr>
                            <w:r>
                              <w:t>PDEA        con  Usuarios priorizados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030D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5" o:spid="_x0000_s1027" type="#_x0000_t97" style="position:absolute;left:0;text-align:left;margin-left:328.65pt;margin-top:105.85pt;width:91.9pt;height:8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" fillcolor="#70ad47 [3209]" strokecolor="#375623 [1609]" strokeweight="1pt">
                <v:stroke joinstyle="miter"/>
                <v:textbox>
                  <w:txbxContent>
                    <w:p w14:paraId="1C4B6835" w14:textId="7335DF71" w:rsidR="007F7D88" w:rsidRDefault="007F7D88" w:rsidP="00902B0F">
                      <w:pPr>
                        <w:jc w:val="center"/>
                      </w:pPr>
                      <w:r>
                        <w:t>PDEA        con  Usuarios priorizados</w:t>
                      </w:r>
                    </w:p>
                  </w:txbxContent>
                </v:textbox>
              </v:shape>
            </w:pict>
          </mc:Fallback>
        </mc:AlternateContent>
      </w:r>
      <w:r w:rsidR="005866FB">
        <w:rPr>
          <w:rFonts w:asciiTheme="majorHAnsi" w:hAnsiTheme="majorHAnsi" w:cstheme="majorHAnsi"/>
          <w:noProof/>
          <w:lang w:eastAsia="es-CO"/>
        </w:rPr>
        <w:drawing>
          <wp:inline distT="0" distB="0" distL="0" distR="0" wp14:anchorId="121B52B1" wp14:editId="2627B764">
            <wp:extent cx="3582537" cy="2176818"/>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892E878" w14:textId="379D668A" w:rsidR="00501ED7" w:rsidRPr="00CA5475" w:rsidRDefault="00501ED7" w:rsidP="00E241E5">
      <w:pPr>
        <w:pStyle w:val="Sinespaciado"/>
        <w:jc w:val="both"/>
        <w:rPr>
          <w:rFonts w:asciiTheme="majorHAnsi" w:hAnsiTheme="majorHAnsi" w:cstheme="majorHAnsi"/>
          <w:i/>
        </w:rPr>
      </w:pPr>
    </w:p>
    <w:p w14:paraId="5AE4829A" w14:textId="6C25B50A" w:rsidR="00A15F23" w:rsidRPr="00CA5475" w:rsidRDefault="00A15F23" w:rsidP="00E241E5">
      <w:pPr>
        <w:pStyle w:val="Sinespaciado"/>
        <w:ind w:left="360"/>
        <w:jc w:val="both"/>
        <w:rPr>
          <w:rFonts w:asciiTheme="majorHAnsi" w:hAnsiTheme="majorHAnsi" w:cs="Calibri Light"/>
          <w:b/>
          <w:i/>
        </w:rPr>
      </w:pPr>
    </w:p>
    <w:p w14:paraId="0176CF24" w14:textId="77777777" w:rsidR="00184A8F" w:rsidRDefault="00184A8F" w:rsidP="00E241E5">
      <w:pPr>
        <w:pStyle w:val="Sinespaciado"/>
        <w:ind w:left="360"/>
        <w:jc w:val="both"/>
        <w:rPr>
          <w:rFonts w:asciiTheme="majorHAnsi" w:hAnsiTheme="majorHAnsi" w:cs="Calibri Light"/>
        </w:rPr>
      </w:pPr>
    </w:p>
    <w:p w14:paraId="60DFA50A" w14:textId="54BC8AA1" w:rsidR="002D709C" w:rsidRPr="00683994" w:rsidRDefault="002D709C" w:rsidP="002D709C">
      <w:pPr>
        <w:pStyle w:val="Sinespaciado"/>
        <w:jc w:val="center"/>
        <w:rPr>
          <w:rFonts w:asciiTheme="majorHAnsi" w:hAnsiTheme="majorHAnsi" w:cstheme="majorHAnsi"/>
        </w:rPr>
      </w:pPr>
      <w:r>
        <w:rPr>
          <w:rFonts w:asciiTheme="majorHAnsi" w:hAnsiTheme="majorHAnsi" w:cstheme="majorHAnsi"/>
          <w:b/>
        </w:rPr>
        <w:t xml:space="preserve">Ilustración 3. </w:t>
      </w:r>
      <w:r>
        <w:rPr>
          <w:rFonts w:asciiTheme="majorHAnsi" w:hAnsiTheme="majorHAnsi" w:cstheme="majorHAnsi"/>
        </w:rPr>
        <w:t>Articulación de los Planes de la RRI y del sector agropecuario con el Plan de Asistencia Integral Técnica.</w:t>
      </w:r>
    </w:p>
    <w:p w14:paraId="7C1C711D" w14:textId="77777777" w:rsidR="005F36D4" w:rsidRDefault="005F36D4" w:rsidP="00E241E5">
      <w:pPr>
        <w:pStyle w:val="Sinespaciado"/>
        <w:ind w:left="360"/>
        <w:jc w:val="both"/>
        <w:rPr>
          <w:rFonts w:asciiTheme="majorHAnsi" w:hAnsiTheme="majorHAnsi" w:cs="Calibri Light"/>
        </w:rPr>
      </w:pPr>
    </w:p>
    <w:p w14:paraId="644C5ED9" w14:textId="77777777" w:rsidR="002D709C" w:rsidRDefault="002D709C" w:rsidP="00E241E5">
      <w:pPr>
        <w:pStyle w:val="Sinespaciado"/>
        <w:ind w:left="360"/>
        <w:jc w:val="both"/>
        <w:rPr>
          <w:rFonts w:asciiTheme="majorHAnsi" w:hAnsiTheme="majorHAnsi" w:cs="Calibri Light"/>
        </w:rPr>
      </w:pPr>
    </w:p>
    <w:p w14:paraId="0CAF0235" w14:textId="77777777" w:rsidR="00155700" w:rsidRDefault="00155700" w:rsidP="00E241E5">
      <w:pPr>
        <w:pStyle w:val="Sinespaciado"/>
        <w:ind w:left="360"/>
        <w:jc w:val="both"/>
        <w:rPr>
          <w:rFonts w:asciiTheme="majorHAnsi" w:hAnsiTheme="majorHAnsi" w:cs="Calibri Light"/>
        </w:rPr>
      </w:pPr>
    </w:p>
    <w:p w14:paraId="30F46BEB" w14:textId="77777777" w:rsidR="00155700" w:rsidRPr="00CA5475" w:rsidRDefault="00155700" w:rsidP="00E241E5">
      <w:pPr>
        <w:pStyle w:val="Sinespaciado"/>
        <w:ind w:left="360"/>
        <w:jc w:val="both"/>
        <w:rPr>
          <w:rFonts w:asciiTheme="majorHAnsi" w:hAnsiTheme="majorHAnsi" w:cs="Calibri Light"/>
        </w:rPr>
      </w:pPr>
    </w:p>
    <w:p w14:paraId="4A6DDD7D" w14:textId="46CF28CF" w:rsidR="007C7152" w:rsidRPr="00CA5475" w:rsidRDefault="00C50637" w:rsidP="00C50637">
      <w:pPr>
        <w:pStyle w:val="Sinespaciado"/>
        <w:ind w:left="708" w:hanging="708"/>
        <w:jc w:val="both"/>
        <w:outlineLvl w:val="1"/>
        <w:rPr>
          <w:rFonts w:asciiTheme="majorHAnsi" w:hAnsiTheme="majorHAnsi" w:cstheme="majorHAnsi"/>
          <w:b/>
          <w:i/>
        </w:rPr>
      </w:pPr>
      <w:bookmarkStart w:id="88" w:name="_Toc4680881"/>
      <w:r>
        <w:rPr>
          <w:rFonts w:asciiTheme="majorHAnsi" w:hAnsiTheme="majorHAnsi" w:cstheme="majorHAnsi"/>
          <w:b/>
          <w:i/>
        </w:rPr>
        <w:lastRenderedPageBreak/>
        <w:t>Acción 2.3</w:t>
      </w:r>
      <w:r w:rsidR="001423BE" w:rsidRPr="00CA5475">
        <w:rPr>
          <w:rFonts w:asciiTheme="majorHAnsi" w:hAnsiTheme="majorHAnsi" w:cstheme="majorHAnsi"/>
          <w:b/>
          <w:i/>
        </w:rPr>
        <w:t xml:space="preserve"> </w:t>
      </w:r>
      <w:r w:rsidR="007C7152" w:rsidRPr="00CA5475">
        <w:rPr>
          <w:rFonts w:asciiTheme="majorHAnsi" w:hAnsiTheme="majorHAnsi" w:cstheme="majorHAnsi"/>
          <w:b/>
          <w:i/>
        </w:rPr>
        <w:t>Evaluación y seguimiento</w:t>
      </w:r>
      <w:r w:rsidR="00556290">
        <w:rPr>
          <w:rFonts w:asciiTheme="majorHAnsi" w:hAnsiTheme="majorHAnsi" w:cstheme="majorHAnsi"/>
          <w:b/>
          <w:i/>
        </w:rPr>
        <w:t xml:space="preserve"> al servicio de extensión agropecuaria</w:t>
      </w:r>
      <w:bookmarkEnd w:id="88"/>
    </w:p>
    <w:p w14:paraId="73D6DA80" w14:textId="77777777" w:rsidR="00B05CDF" w:rsidRPr="00CA5475" w:rsidRDefault="00B05CDF" w:rsidP="00B05CDF">
      <w:pPr>
        <w:pStyle w:val="Sinespaciado"/>
        <w:jc w:val="both"/>
        <w:outlineLvl w:val="2"/>
        <w:rPr>
          <w:rFonts w:asciiTheme="majorHAnsi" w:hAnsiTheme="majorHAnsi" w:cstheme="majorHAnsi"/>
          <w:b/>
        </w:rPr>
      </w:pPr>
    </w:p>
    <w:p w14:paraId="3E56085C" w14:textId="7869A6E7" w:rsidR="00915A81" w:rsidRDefault="00C70D8E" w:rsidP="00C70D8E">
      <w:pPr>
        <w:spacing w:after="0" w:line="240" w:lineRule="auto"/>
        <w:jc w:val="both"/>
        <w:rPr>
          <w:rFonts w:asciiTheme="majorHAnsi" w:eastAsia="Calibri" w:hAnsiTheme="majorHAnsi" w:cstheme="majorHAnsi"/>
          <w:lang w:val="es-MX"/>
        </w:rPr>
      </w:pPr>
      <w:r w:rsidRPr="00CA5475">
        <w:rPr>
          <w:rFonts w:asciiTheme="majorHAnsi" w:eastAsia="Calibri" w:hAnsiTheme="majorHAnsi" w:cstheme="majorHAnsi"/>
          <w:lang w:val="es-MX"/>
        </w:rPr>
        <w:t xml:space="preserve">De acuerdo con los artículos 41 y 42 de la Ley </w:t>
      </w:r>
      <w:r w:rsidR="00A25830" w:rsidRPr="00CA5475">
        <w:rPr>
          <w:rFonts w:asciiTheme="majorHAnsi" w:eastAsia="Calibri" w:hAnsiTheme="majorHAnsi" w:cstheme="majorHAnsi"/>
          <w:lang w:val="es-MX"/>
        </w:rPr>
        <w:t>1876/</w:t>
      </w:r>
      <w:r w:rsidRPr="00CA5475">
        <w:rPr>
          <w:rFonts w:asciiTheme="majorHAnsi" w:eastAsia="Calibri" w:hAnsiTheme="majorHAnsi" w:cstheme="majorHAnsi"/>
          <w:lang w:val="es-MX"/>
        </w:rPr>
        <w:t>2017 respecto al seguimiento y evaluación a la prestación del servici</w:t>
      </w:r>
      <w:r w:rsidR="00915A81">
        <w:rPr>
          <w:rFonts w:asciiTheme="majorHAnsi" w:eastAsia="Calibri" w:hAnsiTheme="majorHAnsi" w:cstheme="majorHAnsi"/>
          <w:lang w:val="es-MX"/>
        </w:rPr>
        <w:t>o de extensión agropecuaria, este plan trabajará en:</w:t>
      </w:r>
    </w:p>
    <w:p w14:paraId="560E29E2" w14:textId="77777777" w:rsidR="00915A81" w:rsidRDefault="00915A81" w:rsidP="00C70D8E">
      <w:pPr>
        <w:spacing w:after="0" w:line="240" w:lineRule="auto"/>
        <w:jc w:val="both"/>
        <w:rPr>
          <w:rFonts w:asciiTheme="majorHAnsi" w:eastAsia="Calibri" w:hAnsiTheme="majorHAnsi" w:cstheme="majorHAnsi"/>
          <w:lang w:val="es-MX"/>
        </w:rPr>
      </w:pPr>
    </w:p>
    <w:p w14:paraId="0834EA07" w14:textId="03E0D132" w:rsidR="00915A81" w:rsidRPr="00915A81" w:rsidRDefault="00915A81" w:rsidP="00EA162D">
      <w:pPr>
        <w:pStyle w:val="Prrafodelista"/>
        <w:numPr>
          <w:ilvl w:val="0"/>
          <w:numId w:val="18"/>
        </w:numPr>
        <w:spacing w:after="0" w:line="240" w:lineRule="auto"/>
        <w:jc w:val="both"/>
        <w:rPr>
          <w:rFonts w:asciiTheme="majorHAnsi" w:eastAsia="Calibri" w:hAnsiTheme="majorHAnsi" w:cstheme="majorHAnsi"/>
          <w:b/>
          <w:lang w:val="es-MX"/>
        </w:rPr>
      </w:pPr>
      <w:r>
        <w:rPr>
          <w:rFonts w:asciiTheme="majorHAnsi" w:eastAsia="Calibri" w:hAnsiTheme="majorHAnsi" w:cstheme="majorHAnsi"/>
          <w:b/>
          <w:lang w:val="es-MX"/>
        </w:rPr>
        <w:t xml:space="preserve">Seguimiento a la prestación del servicio de extensión agropecuaria: </w:t>
      </w:r>
      <w:r>
        <w:rPr>
          <w:rFonts w:asciiTheme="majorHAnsi" w:eastAsia="Calibri" w:hAnsiTheme="majorHAnsi" w:cstheme="majorHAnsi"/>
          <w:lang w:val="es-MX"/>
        </w:rPr>
        <w:t>incluye las siguientes acciones:</w:t>
      </w:r>
    </w:p>
    <w:p w14:paraId="7169D36C" w14:textId="1D87B399" w:rsidR="00915A81" w:rsidRPr="00915A81" w:rsidRDefault="00915A81" w:rsidP="00EA162D">
      <w:pPr>
        <w:pStyle w:val="Prrafodelista"/>
        <w:numPr>
          <w:ilvl w:val="0"/>
          <w:numId w:val="19"/>
        </w:numPr>
        <w:spacing w:after="0" w:line="240" w:lineRule="auto"/>
        <w:jc w:val="both"/>
        <w:rPr>
          <w:rFonts w:asciiTheme="majorHAnsi" w:eastAsia="Calibri" w:hAnsiTheme="majorHAnsi" w:cstheme="majorHAnsi"/>
          <w:b/>
          <w:lang w:val="es-MX"/>
        </w:rPr>
      </w:pPr>
      <w:r>
        <w:rPr>
          <w:rFonts w:asciiTheme="majorHAnsi" w:eastAsia="Calibri" w:hAnsiTheme="majorHAnsi" w:cstheme="majorHAnsi"/>
          <w:lang w:val="es-MX"/>
        </w:rPr>
        <w:t xml:space="preserve">Elaboración de reportes de seguimiento por parte de la ADR, frente a la ejecución de los PDEA y al PECTIA. </w:t>
      </w:r>
    </w:p>
    <w:p w14:paraId="15594A65" w14:textId="371D17AC" w:rsidR="00915A81" w:rsidRPr="00915A81" w:rsidRDefault="00915A81" w:rsidP="00EA162D">
      <w:pPr>
        <w:pStyle w:val="Prrafodelista"/>
        <w:numPr>
          <w:ilvl w:val="0"/>
          <w:numId w:val="19"/>
        </w:numPr>
        <w:spacing w:after="0" w:line="240" w:lineRule="auto"/>
        <w:jc w:val="both"/>
        <w:rPr>
          <w:rFonts w:asciiTheme="majorHAnsi" w:eastAsia="Calibri" w:hAnsiTheme="majorHAnsi" w:cstheme="majorHAnsi"/>
          <w:b/>
          <w:lang w:val="es-MX"/>
        </w:rPr>
      </w:pPr>
      <w:r>
        <w:rPr>
          <w:rFonts w:asciiTheme="majorHAnsi" w:eastAsia="Calibri" w:hAnsiTheme="majorHAnsi" w:cstheme="majorHAnsi"/>
          <w:lang w:val="es-MX"/>
        </w:rPr>
        <w:t>Seguimiento de la ADR a las EPSEA habilitadas (Artículo 41 de la Ley 1876 de 2017)</w:t>
      </w:r>
    </w:p>
    <w:p w14:paraId="48863308" w14:textId="1EC2FD68" w:rsidR="00915A81" w:rsidRPr="00915A81" w:rsidRDefault="00915A81" w:rsidP="00EA162D">
      <w:pPr>
        <w:pStyle w:val="Prrafodelista"/>
        <w:numPr>
          <w:ilvl w:val="0"/>
          <w:numId w:val="19"/>
        </w:numPr>
        <w:spacing w:after="0" w:line="240" w:lineRule="auto"/>
        <w:jc w:val="both"/>
        <w:rPr>
          <w:rFonts w:asciiTheme="majorHAnsi" w:eastAsia="Calibri" w:hAnsiTheme="majorHAnsi" w:cstheme="majorHAnsi"/>
          <w:b/>
          <w:lang w:val="es-MX"/>
        </w:rPr>
      </w:pPr>
      <w:r>
        <w:rPr>
          <w:rFonts w:asciiTheme="majorHAnsi" w:eastAsia="Calibri" w:hAnsiTheme="majorHAnsi" w:cstheme="majorHAnsi"/>
          <w:lang w:val="es-MX"/>
        </w:rPr>
        <w:t xml:space="preserve">Implementación del régimen sancionatorio de usuarios y EPSEA por parte de la ADR </w:t>
      </w:r>
      <w:r w:rsidR="00D304A4">
        <w:rPr>
          <w:rFonts w:asciiTheme="majorHAnsi" w:eastAsia="Calibri" w:hAnsiTheme="majorHAnsi" w:cstheme="majorHAnsi"/>
          <w:lang w:val="es-MX"/>
        </w:rPr>
        <w:t>(Capítulo IV de la Ley 1876 de 2017)</w:t>
      </w:r>
    </w:p>
    <w:p w14:paraId="5D089FE4" w14:textId="77777777" w:rsidR="00C70D8E" w:rsidRPr="00CA5475" w:rsidRDefault="00C70D8E" w:rsidP="00C70D8E">
      <w:pPr>
        <w:spacing w:after="0" w:line="240" w:lineRule="auto"/>
        <w:ind w:left="720"/>
        <w:contextualSpacing/>
        <w:jc w:val="both"/>
        <w:rPr>
          <w:rFonts w:asciiTheme="majorHAnsi" w:eastAsia="Calibri" w:hAnsiTheme="majorHAnsi" w:cstheme="majorHAnsi"/>
          <w:lang w:val="es-MX"/>
        </w:rPr>
      </w:pPr>
    </w:p>
    <w:p w14:paraId="6904B890" w14:textId="77777777" w:rsidR="00915A81" w:rsidRPr="00915A81" w:rsidRDefault="00915A81" w:rsidP="00EA162D">
      <w:pPr>
        <w:pStyle w:val="Prrafodelista"/>
        <w:numPr>
          <w:ilvl w:val="0"/>
          <w:numId w:val="18"/>
        </w:numPr>
        <w:spacing w:after="0" w:line="240" w:lineRule="auto"/>
        <w:jc w:val="both"/>
        <w:rPr>
          <w:rFonts w:asciiTheme="majorHAnsi" w:eastAsia="Calibri" w:hAnsiTheme="majorHAnsi" w:cstheme="majorHAnsi"/>
          <w:b/>
          <w:lang w:val="es-MX"/>
        </w:rPr>
      </w:pPr>
      <w:r>
        <w:rPr>
          <w:rFonts w:asciiTheme="majorHAnsi" w:eastAsia="Calibri" w:hAnsiTheme="majorHAnsi" w:cstheme="majorHAnsi"/>
          <w:b/>
          <w:lang w:val="es-MX"/>
        </w:rPr>
        <w:t xml:space="preserve">Evaluación a la prestación del servicio de extensión agropecuaria: </w:t>
      </w:r>
      <w:r>
        <w:rPr>
          <w:rFonts w:asciiTheme="majorHAnsi" w:eastAsia="Calibri" w:hAnsiTheme="majorHAnsi" w:cstheme="majorHAnsi"/>
          <w:lang w:val="es-MX"/>
        </w:rPr>
        <w:t>incluye las siguientes acciones:</w:t>
      </w:r>
    </w:p>
    <w:p w14:paraId="0270407A" w14:textId="2AA3CBC2" w:rsidR="00C70D8E" w:rsidRPr="00915A81" w:rsidRDefault="0066025C" w:rsidP="00EA162D">
      <w:pPr>
        <w:pStyle w:val="Prrafodelista"/>
        <w:numPr>
          <w:ilvl w:val="0"/>
          <w:numId w:val="20"/>
        </w:numPr>
        <w:spacing w:after="0" w:line="240" w:lineRule="auto"/>
        <w:jc w:val="both"/>
        <w:rPr>
          <w:rFonts w:asciiTheme="majorHAnsi" w:eastAsia="Calibri" w:hAnsiTheme="majorHAnsi" w:cstheme="majorHAnsi"/>
          <w:lang w:val="es-MX"/>
        </w:rPr>
      </w:pPr>
      <w:r>
        <w:rPr>
          <w:rFonts w:asciiTheme="majorHAnsi" w:eastAsia="Calibri" w:hAnsiTheme="majorHAnsi" w:cstheme="majorHAnsi"/>
          <w:lang w:val="es-MX"/>
        </w:rPr>
        <w:t>Construcción de</w:t>
      </w:r>
      <w:r w:rsidR="00F907BF">
        <w:rPr>
          <w:rFonts w:asciiTheme="majorHAnsi" w:eastAsia="Calibri" w:hAnsiTheme="majorHAnsi" w:cstheme="majorHAnsi"/>
          <w:lang w:val="es-MX"/>
        </w:rPr>
        <w:t xml:space="preserve"> lineamientos </w:t>
      </w:r>
      <w:r>
        <w:rPr>
          <w:rFonts w:asciiTheme="majorHAnsi" w:eastAsia="Calibri" w:hAnsiTheme="majorHAnsi" w:cstheme="majorHAnsi"/>
          <w:lang w:val="es-MX"/>
        </w:rPr>
        <w:t xml:space="preserve"> </w:t>
      </w:r>
      <w:r w:rsidR="00F907BF">
        <w:rPr>
          <w:rFonts w:asciiTheme="majorHAnsi" w:eastAsia="Calibri" w:hAnsiTheme="majorHAnsi" w:cstheme="majorHAnsi"/>
          <w:lang w:val="es-MX"/>
        </w:rPr>
        <w:t>para</w:t>
      </w:r>
      <w:r>
        <w:rPr>
          <w:rFonts w:asciiTheme="majorHAnsi" w:eastAsia="Calibri" w:hAnsiTheme="majorHAnsi" w:cstheme="majorHAnsi"/>
          <w:lang w:val="es-MX"/>
        </w:rPr>
        <w:t xml:space="preserve"> la evaluación del servicio de extensión agropecuaria </w:t>
      </w:r>
      <w:r w:rsidR="00BA60A0">
        <w:rPr>
          <w:rFonts w:asciiTheme="majorHAnsi" w:eastAsia="Calibri" w:hAnsiTheme="majorHAnsi" w:cstheme="majorHAnsi"/>
          <w:lang w:val="es-MX"/>
        </w:rPr>
        <w:t xml:space="preserve">por parte del MADR en coordinación con la ADR </w:t>
      </w:r>
      <w:r w:rsidR="00093D19">
        <w:rPr>
          <w:rFonts w:asciiTheme="majorHAnsi" w:eastAsia="Calibri" w:hAnsiTheme="majorHAnsi" w:cstheme="majorHAnsi"/>
          <w:lang w:val="es-MX"/>
        </w:rPr>
        <w:t>y las</w:t>
      </w:r>
      <w:r w:rsidR="00BA60A0">
        <w:rPr>
          <w:rFonts w:asciiTheme="majorHAnsi" w:eastAsia="Calibri" w:hAnsiTheme="majorHAnsi" w:cstheme="majorHAnsi"/>
          <w:lang w:val="es-MX"/>
        </w:rPr>
        <w:t xml:space="preserve"> Secretarías </w:t>
      </w:r>
      <w:r w:rsidR="00F907BF">
        <w:rPr>
          <w:rFonts w:asciiTheme="majorHAnsi" w:eastAsia="Calibri" w:hAnsiTheme="majorHAnsi" w:cstheme="majorHAnsi"/>
          <w:lang w:val="es-MX"/>
        </w:rPr>
        <w:t xml:space="preserve">de Agricultura Departamentales, </w:t>
      </w:r>
      <w:r w:rsidR="00093D19">
        <w:rPr>
          <w:rFonts w:asciiTheme="majorHAnsi" w:eastAsia="Calibri" w:hAnsiTheme="majorHAnsi" w:cstheme="majorHAnsi"/>
          <w:lang w:val="es-MX"/>
        </w:rPr>
        <w:t>que incluya</w:t>
      </w:r>
      <w:r w:rsidR="00F907BF">
        <w:rPr>
          <w:rFonts w:asciiTheme="majorHAnsi" w:eastAsia="Calibri" w:hAnsiTheme="majorHAnsi" w:cstheme="majorHAnsi"/>
          <w:lang w:val="es-MX"/>
        </w:rPr>
        <w:t xml:space="preserve">n instrumentos, indicadores, criterios y periodicidad de las evaluaciones. </w:t>
      </w:r>
    </w:p>
    <w:p w14:paraId="7221EAC3" w14:textId="77777777" w:rsidR="00915A81" w:rsidRPr="00CA5475" w:rsidRDefault="00915A81" w:rsidP="00C70D8E">
      <w:pPr>
        <w:spacing w:after="0" w:line="240" w:lineRule="auto"/>
        <w:jc w:val="both"/>
        <w:rPr>
          <w:rFonts w:asciiTheme="majorHAnsi" w:eastAsia="Calibri" w:hAnsiTheme="majorHAnsi" w:cstheme="majorHAnsi"/>
          <w:lang w:val="es-MX"/>
        </w:rPr>
      </w:pPr>
    </w:p>
    <w:p w14:paraId="26D757CF" w14:textId="77777777" w:rsidR="00141E2C" w:rsidRPr="00CA5475" w:rsidRDefault="00141E2C" w:rsidP="00C70D8E">
      <w:pPr>
        <w:spacing w:after="0" w:line="240" w:lineRule="auto"/>
        <w:jc w:val="both"/>
        <w:rPr>
          <w:rFonts w:asciiTheme="majorHAnsi" w:eastAsia="Calibri" w:hAnsiTheme="majorHAnsi" w:cstheme="majorHAnsi"/>
          <w:lang w:val="es-MX"/>
        </w:rPr>
      </w:pPr>
    </w:p>
    <w:p w14:paraId="2E507312" w14:textId="77777777" w:rsidR="00141E2C" w:rsidRPr="00CA5475" w:rsidRDefault="00141E2C" w:rsidP="00C70D8E">
      <w:pPr>
        <w:spacing w:after="0" w:line="240" w:lineRule="auto"/>
        <w:jc w:val="both"/>
        <w:rPr>
          <w:rFonts w:asciiTheme="majorHAnsi" w:eastAsia="Calibri" w:hAnsiTheme="majorHAnsi" w:cstheme="majorHAnsi"/>
          <w:lang w:val="es-MX"/>
        </w:rPr>
      </w:pPr>
    </w:p>
    <w:p w14:paraId="011FF883" w14:textId="3EB796FB" w:rsidR="00A2302B" w:rsidRPr="00CA5475" w:rsidRDefault="00A2302B" w:rsidP="00A2302B">
      <w:pPr>
        <w:spacing w:after="0" w:line="240" w:lineRule="auto"/>
        <w:jc w:val="both"/>
        <w:rPr>
          <w:rFonts w:asciiTheme="majorHAnsi" w:eastAsia="Calibri" w:hAnsiTheme="majorHAnsi" w:cstheme="majorHAnsi"/>
          <w:lang w:val="es-MX"/>
        </w:rPr>
      </w:pPr>
    </w:p>
    <w:p w14:paraId="6975B75D" w14:textId="77777777" w:rsidR="003134BE" w:rsidRPr="00CA5475" w:rsidRDefault="003134BE" w:rsidP="002C6585">
      <w:pPr>
        <w:pStyle w:val="Sinespaciado"/>
        <w:rPr>
          <w:rFonts w:asciiTheme="majorHAnsi" w:hAnsiTheme="majorHAnsi"/>
        </w:rPr>
      </w:pPr>
    </w:p>
    <w:p w14:paraId="640847D8" w14:textId="77777777" w:rsidR="003134BE" w:rsidRPr="00CA5475" w:rsidRDefault="003134BE" w:rsidP="002C6585">
      <w:pPr>
        <w:pStyle w:val="Sinespaciado"/>
        <w:rPr>
          <w:rFonts w:asciiTheme="majorHAnsi" w:hAnsiTheme="majorHAnsi"/>
        </w:rPr>
      </w:pPr>
    </w:p>
    <w:p w14:paraId="2CB91A3D" w14:textId="77777777" w:rsidR="003134BE" w:rsidRPr="00CA5475" w:rsidRDefault="003134BE" w:rsidP="002C6585">
      <w:pPr>
        <w:pStyle w:val="Sinespaciado"/>
        <w:rPr>
          <w:rFonts w:asciiTheme="majorHAnsi" w:hAnsiTheme="majorHAnsi"/>
        </w:rPr>
      </w:pPr>
    </w:p>
    <w:p w14:paraId="543057CC" w14:textId="77777777" w:rsidR="003134BE" w:rsidRPr="00CA5475" w:rsidRDefault="003134BE" w:rsidP="002C6585">
      <w:pPr>
        <w:pStyle w:val="Sinespaciado"/>
        <w:rPr>
          <w:rFonts w:asciiTheme="majorHAnsi" w:hAnsiTheme="majorHAnsi"/>
        </w:rPr>
      </w:pPr>
    </w:p>
    <w:p w14:paraId="5DA50B71" w14:textId="77777777" w:rsidR="003134BE" w:rsidRPr="00CA5475" w:rsidRDefault="003134BE" w:rsidP="002C6585">
      <w:pPr>
        <w:pStyle w:val="Sinespaciado"/>
        <w:rPr>
          <w:rFonts w:asciiTheme="majorHAnsi" w:hAnsiTheme="majorHAnsi"/>
        </w:rPr>
      </w:pPr>
    </w:p>
    <w:p w14:paraId="16B9189E" w14:textId="77777777" w:rsidR="007328A8" w:rsidRPr="00CA5475" w:rsidRDefault="007328A8" w:rsidP="002C6585">
      <w:pPr>
        <w:pStyle w:val="Sinespaciado"/>
        <w:rPr>
          <w:rFonts w:asciiTheme="majorHAnsi" w:hAnsiTheme="majorHAnsi"/>
        </w:rPr>
      </w:pPr>
    </w:p>
    <w:p w14:paraId="55F22EC1" w14:textId="77777777" w:rsidR="007328A8" w:rsidRPr="00CA5475" w:rsidRDefault="007328A8" w:rsidP="002C6585">
      <w:pPr>
        <w:pStyle w:val="Sinespaciado"/>
        <w:rPr>
          <w:rFonts w:asciiTheme="majorHAnsi" w:hAnsiTheme="majorHAnsi"/>
        </w:rPr>
      </w:pPr>
    </w:p>
    <w:p w14:paraId="743147F2" w14:textId="77777777" w:rsidR="002C6585" w:rsidRPr="00CA5475" w:rsidRDefault="002C6585" w:rsidP="00511B7D">
      <w:pPr>
        <w:pStyle w:val="Sinespaciado"/>
        <w:ind w:left="360"/>
        <w:jc w:val="both"/>
        <w:outlineLvl w:val="2"/>
        <w:rPr>
          <w:rFonts w:asciiTheme="majorHAnsi" w:hAnsiTheme="majorHAnsi" w:cstheme="majorHAnsi"/>
          <w:i/>
        </w:rPr>
      </w:pPr>
    </w:p>
    <w:p w14:paraId="2F2D8678" w14:textId="77777777" w:rsidR="00503836" w:rsidRPr="00CA5475" w:rsidRDefault="00503836" w:rsidP="00EA162D">
      <w:pPr>
        <w:pStyle w:val="Ttulo1"/>
        <w:numPr>
          <w:ilvl w:val="0"/>
          <w:numId w:val="4"/>
        </w:numPr>
        <w:rPr>
          <w:color w:val="auto"/>
        </w:rPr>
        <w:sectPr w:rsidR="00503836" w:rsidRPr="00CA5475" w:rsidSect="004B4B83">
          <w:headerReference w:type="default" r:id="rId16"/>
          <w:footerReference w:type="default" r:id="rId17"/>
          <w:pgSz w:w="12240" w:h="15840"/>
          <w:pgMar w:top="1985" w:right="1701" w:bottom="1418" w:left="1701" w:header="709" w:footer="709" w:gutter="0"/>
          <w:cols w:space="708"/>
          <w:docGrid w:linePitch="360"/>
        </w:sectPr>
      </w:pPr>
    </w:p>
    <w:p w14:paraId="008C7919" w14:textId="2CA956BE" w:rsidR="00C54FA7" w:rsidRPr="00A73608" w:rsidRDefault="00A23C60" w:rsidP="00EA162D">
      <w:pPr>
        <w:pStyle w:val="Ttulo1"/>
        <w:numPr>
          <w:ilvl w:val="0"/>
          <w:numId w:val="14"/>
        </w:numPr>
      </w:pPr>
      <w:bookmarkStart w:id="89" w:name="_Toc4680882"/>
      <w:r w:rsidRPr="00A73608">
        <w:lastRenderedPageBreak/>
        <w:t>Seguimiento y Metas</w:t>
      </w:r>
      <w:bookmarkEnd w:id="89"/>
    </w:p>
    <w:p w14:paraId="53474682" w14:textId="77777777" w:rsidR="004D1F09" w:rsidRPr="00C168FF" w:rsidRDefault="004D1F09">
      <w:pPr>
        <w:pStyle w:val="Sinespaciado"/>
        <w:jc w:val="both"/>
        <w:rPr>
          <w:rFonts w:asciiTheme="majorHAnsi" w:hAnsiTheme="majorHAnsi"/>
          <w:sz w:val="12"/>
        </w:rPr>
      </w:pPr>
    </w:p>
    <w:p w14:paraId="4A0C9D1E" w14:textId="4728F76F" w:rsidR="00EA3DAF" w:rsidRPr="00027120" w:rsidRDefault="005E5DF5">
      <w:pPr>
        <w:pStyle w:val="Sinespaciado"/>
        <w:jc w:val="both"/>
        <w:rPr>
          <w:rFonts w:asciiTheme="majorHAnsi" w:hAnsiTheme="majorHAnsi"/>
        </w:rPr>
      </w:pPr>
      <w:r w:rsidRPr="00027120">
        <w:rPr>
          <w:rFonts w:asciiTheme="majorHAnsi" w:hAnsiTheme="majorHAnsi"/>
        </w:rPr>
        <w:t>En la</w:t>
      </w:r>
      <w:r w:rsidR="00EA3DAF" w:rsidRPr="00027120">
        <w:rPr>
          <w:rFonts w:asciiTheme="majorHAnsi" w:hAnsiTheme="majorHAnsi"/>
        </w:rPr>
        <w:t xml:space="preserve"> siguiente </w:t>
      </w:r>
      <w:r w:rsidRPr="00027120">
        <w:rPr>
          <w:rFonts w:asciiTheme="majorHAnsi" w:hAnsiTheme="majorHAnsi"/>
        </w:rPr>
        <w:t>tabla</w:t>
      </w:r>
      <w:r w:rsidR="00AF6255">
        <w:rPr>
          <w:rFonts w:asciiTheme="majorHAnsi" w:hAnsiTheme="majorHAnsi"/>
        </w:rPr>
        <w:t xml:space="preserve">, se presentan las estrategias, acciones, </w:t>
      </w:r>
      <w:r w:rsidR="00EA3DAF" w:rsidRPr="00027120">
        <w:rPr>
          <w:rFonts w:asciiTheme="majorHAnsi" w:hAnsiTheme="majorHAnsi"/>
        </w:rPr>
        <w:t>indicadores,</w:t>
      </w:r>
      <w:r w:rsidR="00AF6255">
        <w:rPr>
          <w:rFonts w:asciiTheme="majorHAnsi" w:hAnsiTheme="majorHAnsi"/>
        </w:rPr>
        <w:t xml:space="preserve"> productos</w:t>
      </w:r>
      <w:r w:rsidR="00EA3DAF" w:rsidRPr="00027120">
        <w:rPr>
          <w:rFonts w:asciiTheme="majorHAnsi" w:hAnsiTheme="majorHAnsi"/>
        </w:rPr>
        <w:t xml:space="preserve"> y responsables para realizar el seguimiento al presente plan:</w:t>
      </w:r>
    </w:p>
    <w:p w14:paraId="09A92F39" w14:textId="77777777" w:rsidR="00AF6255" w:rsidRPr="00C168FF" w:rsidRDefault="00AF6255" w:rsidP="00027120">
      <w:pPr>
        <w:pStyle w:val="Sinespaciado"/>
        <w:contextualSpacing/>
        <w:jc w:val="center"/>
        <w:rPr>
          <w:rFonts w:asciiTheme="majorHAnsi" w:eastAsia="Calibri" w:hAnsiTheme="majorHAnsi" w:cstheme="majorHAnsi"/>
          <w:b/>
          <w:sz w:val="14"/>
          <w:lang w:val="es-MX"/>
        </w:rPr>
      </w:pPr>
    </w:p>
    <w:p w14:paraId="63CACD56" w14:textId="02A09753" w:rsidR="004D5AAE" w:rsidRDefault="00EC2491" w:rsidP="00027120">
      <w:pPr>
        <w:pStyle w:val="Sinespaciado"/>
        <w:contextualSpacing/>
        <w:jc w:val="center"/>
        <w:rPr>
          <w:rFonts w:asciiTheme="majorHAnsi" w:eastAsia="Calibri" w:hAnsiTheme="majorHAnsi" w:cstheme="majorHAnsi"/>
          <w:lang w:val="es-MX"/>
        </w:rPr>
      </w:pPr>
      <w:r>
        <w:rPr>
          <w:rFonts w:asciiTheme="majorHAnsi" w:eastAsia="Calibri" w:hAnsiTheme="majorHAnsi" w:cstheme="majorHAnsi"/>
          <w:b/>
          <w:lang w:val="es-MX"/>
        </w:rPr>
        <w:t>Tabla 8</w:t>
      </w:r>
      <w:r w:rsidR="00027120" w:rsidRPr="005E5DF5">
        <w:rPr>
          <w:rFonts w:asciiTheme="majorHAnsi" w:hAnsiTheme="majorHAnsi"/>
          <w:b/>
          <w:sz w:val="20"/>
        </w:rPr>
        <w:t>.</w:t>
      </w:r>
      <w:r w:rsidR="00027120">
        <w:rPr>
          <w:rFonts w:asciiTheme="majorHAnsi" w:hAnsiTheme="majorHAnsi"/>
          <w:sz w:val="20"/>
        </w:rPr>
        <w:t xml:space="preserve"> </w:t>
      </w:r>
      <w:r w:rsidR="00027120" w:rsidRPr="00BF1E8C">
        <w:rPr>
          <w:rFonts w:asciiTheme="majorHAnsi" w:eastAsia="Calibri" w:hAnsiTheme="majorHAnsi" w:cstheme="majorHAnsi"/>
          <w:lang w:val="es-MX"/>
        </w:rPr>
        <w:t>Matriz de seguimiento del Plan de Asistencia Integral Técnica</w:t>
      </w:r>
      <w:r w:rsidR="00672503">
        <w:rPr>
          <w:rFonts w:asciiTheme="majorHAnsi" w:eastAsia="Calibri" w:hAnsiTheme="majorHAnsi" w:cstheme="majorHAnsi"/>
          <w:lang w:val="es-MX"/>
        </w:rPr>
        <w:t xml:space="preserve">  </w:t>
      </w:r>
      <w:r w:rsidR="00BB4C79">
        <w:rPr>
          <w:rFonts w:asciiTheme="majorHAnsi" w:eastAsia="Calibri" w:hAnsiTheme="majorHAnsi" w:cstheme="majorHAnsi"/>
          <w:highlight w:val="yellow"/>
          <w:lang w:val="es-MX"/>
        </w:rPr>
        <w:t>VER</w:t>
      </w:r>
      <w:bookmarkStart w:id="90" w:name="_GoBack"/>
      <w:bookmarkEnd w:id="90"/>
      <w:r w:rsidR="004D5AAE" w:rsidRPr="004D5AAE">
        <w:rPr>
          <w:rFonts w:asciiTheme="majorHAnsi" w:eastAsia="Calibri" w:hAnsiTheme="majorHAnsi" w:cstheme="majorHAnsi"/>
          <w:highlight w:val="yellow"/>
          <w:lang w:val="es-MX"/>
        </w:rPr>
        <w:t xml:space="preserve"> EXCEL</w:t>
      </w:r>
    </w:p>
    <w:p w14:paraId="7F850147" w14:textId="77777777" w:rsidR="009E555B" w:rsidRPr="00A73608" w:rsidRDefault="009E555B" w:rsidP="00CF390C">
      <w:pPr>
        <w:pStyle w:val="Ttulo1"/>
        <w:sectPr w:rsidR="009E555B" w:rsidRPr="00A73608" w:rsidSect="00503836">
          <w:pgSz w:w="15840" w:h="12240" w:orient="landscape"/>
          <w:pgMar w:top="1701" w:right="1418" w:bottom="1701" w:left="1418" w:header="709" w:footer="709" w:gutter="0"/>
          <w:cols w:space="708"/>
          <w:docGrid w:linePitch="360"/>
        </w:sectPr>
      </w:pPr>
    </w:p>
    <w:p w14:paraId="74123670" w14:textId="1DBE2100" w:rsidR="007C5C4A" w:rsidRPr="00A73608" w:rsidRDefault="00A23C60" w:rsidP="00EA162D">
      <w:pPr>
        <w:pStyle w:val="Ttulo1"/>
        <w:numPr>
          <w:ilvl w:val="0"/>
          <w:numId w:val="14"/>
        </w:numPr>
        <w:spacing w:line="240" w:lineRule="auto"/>
        <w:jc w:val="both"/>
      </w:pPr>
      <w:bookmarkStart w:id="91" w:name="_Toc4680883"/>
      <w:r w:rsidRPr="00A73608">
        <w:lastRenderedPageBreak/>
        <w:t>Financiamiento</w:t>
      </w:r>
      <w:bookmarkEnd w:id="91"/>
      <w:r w:rsidR="00960A93" w:rsidRPr="00A73608">
        <w:t xml:space="preserve"> </w:t>
      </w:r>
    </w:p>
    <w:p w14:paraId="0620164F" w14:textId="77777777" w:rsidR="00744017" w:rsidRDefault="00744017" w:rsidP="00744017">
      <w:pPr>
        <w:pStyle w:val="Sinespaciado"/>
        <w:jc w:val="both"/>
        <w:rPr>
          <w:rFonts w:asciiTheme="majorHAnsi" w:hAnsiTheme="majorHAnsi"/>
          <w:lang w:val="es-ES"/>
        </w:rPr>
      </w:pPr>
    </w:p>
    <w:p w14:paraId="038A401C" w14:textId="6EAFDD67" w:rsidR="00C3238A" w:rsidRDefault="00442669" w:rsidP="00744017">
      <w:pPr>
        <w:pStyle w:val="Sinespaciado"/>
        <w:jc w:val="both"/>
        <w:rPr>
          <w:rFonts w:asciiTheme="majorHAnsi" w:hAnsiTheme="majorHAnsi"/>
          <w:lang w:val="es-ES"/>
        </w:rPr>
      </w:pPr>
      <w:r>
        <w:rPr>
          <w:rFonts w:asciiTheme="majorHAnsi" w:hAnsiTheme="majorHAnsi"/>
          <w:lang w:val="es-ES"/>
        </w:rPr>
        <w:t>Las acciones del presente plan, en especial las relacionadas con la prestación del servicio de extensión agropecuaria (Acción 2.2), serán financiadas</w:t>
      </w:r>
      <w:r w:rsidR="00C3238A">
        <w:rPr>
          <w:rFonts w:asciiTheme="majorHAnsi" w:hAnsiTheme="majorHAnsi"/>
          <w:lang w:val="es-ES"/>
        </w:rPr>
        <w:t xml:space="preserve"> con recursos del Presupuesto General de la Nación (PGN)</w:t>
      </w:r>
      <w:r w:rsidR="001D3334">
        <w:rPr>
          <w:rFonts w:asciiTheme="majorHAnsi" w:hAnsiTheme="majorHAnsi"/>
          <w:lang w:val="es-ES"/>
        </w:rPr>
        <w:t xml:space="preserve"> asignados a la ADR</w:t>
      </w:r>
      <w:r w:rsidR="00C3238A">
        <w:rPr>
          <w:rFonts w:asciiTheme="majorHAnsi" w:hAnsiTheme="majorHAnsi"/>
          <w:lang w:val="es-ES"/>
        </w:rPr>
        <w:t xml:space="preserve">, y eventualmente con los recursos que gestionen los municipios y distritos como órganos competentes en la prestación del servicio de extensión agropecuaria, y demás fuentes de financiación mencionadas en el Artículo 14 de la Ley 1876 de 2017. </w:t>
      </w:r>
    </w:p>
    <w:p w14:paraId="6BCDA104" w14:textId="77777777" w:rsidR="00442669" w:rsidRPr="007D40F5" w:rsidRDefault="00442669" w:rsidP="00744017">
      <w:pPr>
        <w:pStyle w:val="Sinespaciado"/>
        <w:jc w:val="both"/>
        <w:rPr>
          <w:rFonts w:asciiTheme="majorHAnsi" w:hAnsiTheme="majorHAnsi"/>
          <w:sz w:val="14"/>
          <w:lang w:val="es-ES"/>
        </w:rPr>
      </w:pPr>
    </w:p>
    <w:p w14:paraId="08A84EA7" w14:textId="10289EC8" w:rsidR="00F323B8" w:rsidRDefault="00F323B8" w:rsidP="00744017">
      <w:pPr>
        <w:pStyle w:val="Sinespaciado"/>
        <w:jc w:val="both"/>
        <w:rPr>
          <w:rFonts w:asciiTheme="majorHAnsi" w:hAnsiTheme="majorHAnsi"/>
          <w:lang w:val="es-ES"/>
        </w:rPr>
      </w:pPr>
      <w:r>
        <w:rPr>
          <w:rFonts w:asciiTheme="majorHAnsi" w:hAnsiTheme="majorHAnsi"/>
          <w:lang w:val="es-ES"/>
        </w:rPr>
        <w:t>Es importante aclarar, que los valores pueden varia</w:t>
      </w:r>
      <w:r w:rsidR="00E43383">
        <w:rPr>
          <w:rFonts w:asciiTheme="majorHAnsi" w:hAnsiTheme="majorHAnsi"/>
          <w:lang w:val="es-ES"/>
        </w:rPr>
        <w:t>r de acuerdo al Marco Fiscal de</w:t>
      </w:r>
      <w:r>
        <w:rPr>
          <w:rFonts w:asciiTheme="majorHAnsi" w:hAnsiTheme="majorHAnsi"/>
          <w:lang w:val="es-ES"/>
        </w:rPr>
        <w:t>l Sector y a la disponibilidad de recursos que el Ministerio de Hacienda y Crédito Público asigne con destino a la prestación del servicio de extensión agropecuaria en el PGN.</w:t>
      </w:r>
    </w:p>
    <w:p w14:paraId="3BDE013C" w14:textId="77777777" w:rsidR="00F323B8" w:rsidRPr="007D40F5" w:rsidRDefault="00F323B8" w:rsidP="00744017">
      <w:pPr>
        <w:pStyle w:val="Sinespaciado"/>
        <w:jc w:val="both"/>
        <w:rPr>
          <w:rFonts w:asciiTheme="majorHAnsi" w:hAnsiTheme="majorHAnsi"/>
          <w:sz w:val="12"/>
          <w:lang w:val="es-ES"/>
        </w:rPr>
      </w:pPr>
    </w:p>
    <w:p w14:paraId="4AA7062C" w14:textId="7DD951E9" w:rsidR="00442669" w:rsidRDefault="00442669" w:rsidP="00744017">
      <w:pPr>
        <w:pStyle w:val="Sinespaciado"/>
        <w:jc w:val="both"/>
        <w:rPr>
          <w:rFonts w:asciiTheme="majorHAnsi" w:hAnsiTheme="majorHAnsi"/>
          <w:lang w:val="es-ES"/>
        </w:rPr>
      </w:pPr>
      <w:r>
        <w:rPr>
          <w:rFonts w:asciiTheme="majorHAnsi" w:hAnsiTheme="majorHAnsi"/>
          <w:lang w:val="es-ES"/>
        </w:rPr>
        <w:t xml:space="preserve">Las demás acciones contempladas en el plan y que figuran con metas pero sin presupuesto, serán ejecutadas con recursos propios de funcionamiento e inversión asignados a cada entidad responsable. </w:t>
      </w:r>
    </w:p>
    <w:p w14:paraId="6DCE3C56" w14:textId="77777777" w:rsidR="00A42E49" w:rsidRPr="007D40F5" w:rsidRDefault="00A42E49" w:rsidP="00744017">
      <w:pPr>
        <w:pStyle w:val="Sinespaciado"/>
        <w:jc w:val="both"/>
        <w:rPr>
          <w:rFonts w:asciiTheme="majorHAnsi" w:hAnsiTheme="majorHAnsi"/>
          <w:sz w:val="12"/>
          <w:lang w:val="es-ES"/>
        </w:rPr>
      </w:pPr>
    </w:p>
    <w:p w14:paraId="1EA07A12" w14:textId="01602505" w:rsidR="003538D3" w:rsidRDefault="00A42E49" w:rsidP="003538D3">
      <w:pPr>
        <w:pStyle w:val="Sinespaciado"/>
        <w:jc w:val="both"/>
        <w:rPr>
          <w:rFonts w:asciiTheme="majorHAnsi" w:hAnsiTheme="majorHAnsi"/>
          <w:lang w:val="es-ES"/>
        </w:rPr>
      </w:pPr>
      <w:r>
        <w:rPr>
          <w:rFonts w:asciiTheme="majorHAnsi" w:hAnsiTheme="majorHAnsi"/>
          <w:lang w:val="es-ES"/>
        </w:rPr>
        <w:t>El presupuesto estimado para la ejecución del presente Plan</w:t>
      </w:r>
      <w:r w:rsidR="00E43383">
        <w:rPr>
          <w:rFonts w:asciiTheme="majorHAnsi" w:hAnsiTheme="majorHAnsi"/>
          <w:lang w:val="es-ES"/>
        </w:rPr>
        <w:t xml:space="preserve"> dirigido a atender todas las UF de la ACFC</w:t>
      </w:r>
      <w:r>
        <w:rPr>
          <w:rFonts w:asciiTheme="majorHAnsi" w:hAnsiTheme="majorHAnsi"/>
          <w:lang w:val="es-ES"/>
        </w:rPr>
        <w:t xml:space="preserve"> en un horizonte de 15 años (2019-2034), es de </w:t>
      </w:r>
      <w:r w:rsidRPr="00A42E49">
        <w:rPr>
          <w:rFonts w:asciiTheme="majorHAnsi" w:hAnsiTheme="majorHAnsi"/>
          <w:b/>
          <w:u w:val="single"/>
          <w:lang w:val="es-ES"/>
        </w:rPr>
        <w:t>$4.</w:t>
      </w:r>
      <w:r w:rsidRPr="003538D3">
        <w:rPr>
          <w:rFonts w:asciiTheme="majorHAnsi" w:hAnsiTheme="majorHAnsi"/>
          <w:b/>
          <w:u w:val="single"/>
          <w:lang w:val="es-ES"/>
        </w:rPr>
        <w:t>4 billones</w:t>
      </w:r>
      <w:r>
        <w:rPr>
          <w:rFonts w:asciiTheme="majorHAnsi" w:hAnsiTheme="majorHAnsi"/>
          <w:lang w:val="es-ES"/>
        </w:rPr>
        <w:t xml:space="preserve"> según el costeo que se presenta para la prestación del servicio de extensión agropecuaria en el marco de la Ley 1876 de 2017. </w:t>
      </w:r>
      <w:r w:rsidR="003538D3">
        <w:rPr>
          <w:rFonts w:asciiTheme="majorHAnsi" w:hAnsiTheme="majorHAnsi"/>
          <w:lang w:val="es-ES"/>
        </w:rPr>
        <w:t xml:space="preserve">Dicho </w:t>
      </w:r>
      <w:r w:rsidR="003538D3">
        <w:rPr>
          <w:rFonts w:asciiTheme="majorHAnsi" w:hAnsiTheme="majorHAnsi"/>
          <w:lang w:val="es-ES"/>
        </w:rPr>
        <w:t xml:space="preserve">costeo </w:t>
      </w:r>
      <w:r w:rsidR="003538D3" w:rsidRPr="00180EF8">
        <w:rPr>
          <w:rFonts w:asciiTheme="majorHAnsi" w:hAnsiTheme="majorHAnsi"/>
          <w:b/>
          <w:u w:val="single"/>
          <w:lang w:val="es-ES"/>
        </w:rPr>
        <w:t>no incluye</w:t>
      </w:r>
      <w:r w:rsidR="003538D3">
        <w:rPr>
          <w:rFonts w:asciiTheme="majorHAnsi" w:hAnsiTheme="majorHAnsi"/>
          <w:lang w:val="es-ES"/>
        </w:rPr>
        <w:t xml:space="preserve"> </w:t>
      </w:r>
      <w:r w:rsidR="003538D3" w:rsidRPr="00180EF8">
        <w:rPr>
          <w:rFonts w:asciiTheme="majorHAnsi" w:hAnsiTheme="majorHAnsi"/>
          <w:lang w:val="es-ES"/>
        </w:rPr>
        <w:t>la totalidad de actividades</w:t>
      </w:r>
      <w:r w:rsidR="003538D3">
        <w:rPr>
          <w:rFonts w:asciiTheme="majorHAnsi" w:hAnsiTheme="majorHAnsi"/>
          <w:lang w:val="es-ES"/>
        </w:rPr>
        <w:t xml:space="preserve"> vinculadas a la prestación del servicio</w:t>
      </w:r>
      <w:r w:rsidR="003538D3" w:rsidRPr="00180EF8">
        <w:rPr>
          <w:rFonts w:asciiTheme="majorHAnsi" w:hAnsiTheme="majorHAnsi"/>
          <w:lang w:val="es-ES"/>
        </w:rPr>
        <w:t xml:space="preserve"> de extensión agropecuaria en el marco del SNIA, entre las cuales se encuentran la conformación y desarrollo de Sistemas Territoriales de Innovación (STI), </w:t>
      </w:r>
      <w:r w:rsidR="003538D3">
        <w:rPr>
          <w:rFonts w:asciiTheme="majorHAnsi" w:hAnsiTheme="majorHAnsi"/>
          <w:lang w:val="es-ES"/>
        </w:rPr>
        <w:t xml:space="preserve">las acciones de formación y capacitación, los costos de investigación y transferencia de tecnología, entre otros. </w:t>
      </w:r>
    </w:p>
    <w:p w14:paraId="2EF44735" w14:textId="77777777" w:rsidR="00E43383" w:rsidRDefault="00E43383" w:rsidP="003538D3">
      <w:pPr>
        <w:pStyle w:val="Sinespaciado"/>
        <w:jc w:val="both"/>
        <w:rPr>
          <w:rFonts w:asciiTheme="majorHAnsi" w:hAnsiTheme="majorHAnsi"/>
          <w:lang w:val="es-ES"/>
        </w:rPr>
      </w:pPr>
    </w:p>
    <w:p w14:paraId="15BFECEC" w14:textId="57EB1B94" w:rsidR="00E43383" w:rsidRDefault="00E43383" w:rsidP="003538D3">
      <w:pPr>
        <w:pStyle w:val="Sinespaciado"/>
        <w:jc w:val="both"/>
        <w:rPr>
          <w:rFonts w:asciiTheme="majorHAnsi" w:hAnsiTheme="majorHAnsi"/>
          <w:lang w:val="es-ES"/>
        </w:rPr>
      </w:pPr>
      <w:r>
        <w:rPr>
          <w:rFonts w:asciiTheme="majorHAnsi" w:hAnsiTheme="majorHAnsi"/>
          <w:lang w:val="es-ES"/>
        </w:rPr>
        <w:t xml:space="preserve">Sin embargo, dadas las limitaciones de tipo presupuestal, se realiza una priorización para el periodo 2019-2022 a partir de los recursos proyectados por parte de la ADR que ascienden a un total de </w:t>
      </w:r>
      <w:r w:rsidRPr="00E43383">
        <w:rPr>
          <w:rFonts w:asciiTheme="majorHAnsi" w:hAnsiTheme="majorHAnsi"/>
          <w:b/>
          <w:u w:val="single"/>
          <w:lang w:val="es-ES"/>
        </w:rPr>
        <w:t>$438.939.502.500</w:t>
      </w:r>
      <w:r w:rsidRPr="00E43383">
        <w:rPr>
          <w:rFonts w:asciiTheme="majorHAnsi" w:hAnsiTheme="majorHAnsi"/>
          <w:lang w:val="es-ES"/>
        </w:rPr>
        <w:t xml:space="preserve"> para ejecutar en </w:t>
      </w:r>
      <w:r w:rsidR="00644ECD">
        <w:rPr>
          <w:rFonts w:asciiTheme="majorHAnsi" w:hAnsiTheme="majorHAnsi"/>
          <w:b/>
          <w:u w:val="single"/>
          <w:lang w:val="es-ES"/>
        </w:rPr>
        <w:t>municipios PDET,</w:t>
      </w:r>
      <w:r w:rsidR="00644ECD">
        <w:rPr>
          <w:rFonts w:asciiTheme="majorHAnsi" w:hAnsiTheme="majorHAnsi"/>
          <w:b/>
          <w:lang w:val="es-ES"/>
        </w:rPr>
        <w:t xml:space="preserve"> </w:t>
      </w:r>
      <w:r w:rsidR="00644ECD">
        <w:rPr>
          <w:rFonts w:asciiTheme="majorHAnsi" w:hAnsiTheme="majorHAnsi"/>
          <w:lang w:val="es-ES"/>
        </w:rPr>
        <w:t xml:space="preserve">y que también pueden variar de acuerdo a la disponibilidad de los recursos asignados vía el PGN. </w:t>
      </w:r>
    </w:p>
    <w:p w14:paraId="73EFBB80" w14:textId="77777777" w:rsidR="00A42E49" w:rsidRDefault="00A42E49" w:rsidP="00744017">
      <w:pPr>
        <w:pStyle w:val="Sinespaciado"/>
        <w:jc w:val="both"/>
        <w:rPr>
          <w:rFonts w:asciiTheme="majorHAnsi" w:hAnsiTheme="majorHAnsi"/>
          <w:lang w:val="es-ES"/>
        </w:rPr>
      </w:pPr>
    </w:p>
    <w:p w14:paraId="3B761073" w14:textId="04F2375B" w:rsidR="003A2B38" w:rsidRPr="00BC0BCC" w:rsidRDefault="00BC0BCC" w:rsidP="00EA162D">
      <w:pPr>
        <w:pStyle w:val="Sinespaciado"/>
        <w:numPr>
          <w:ilvl w:val="0"/>
          <w:numId w:val="18"/>
        </w:numPr>
        <w:spacing w:after="240"/>
        <w:jc w:val="both"/>
        <w:rPr>
          <w:rFonts w:asciiTheme="majorHAnsi" w:hAnsiTheme="majorHAnsi"/>
          <w:lang w:val="es-ES"/>
        </w:rPr>
      </w:pPr>
      <w:r>
        <w:rPr>
          <w:rFonts w:asciiTheme="majorHAnsi" w:hAnsiTheme="majorHAnsi"/>
          <w:b/>
          <w:lang w:val="es-ES"/>
        </w:rPr>
        <w:t>Costeo aproximado de la prestación del servicio de extensión agropecuaria</w:t>
      </w:r>
    </w:p>
    <w:p w14:paraId="05929BD4" w14:textId="77777777" w:rsidR="00906B81" w:rsidRDefault="00BC0BCC" w:rsidP="003C07F1">
      <w:pPr>
        <w:pStyle w:val="Sinespaciado"/>
        <w:spacing w:after="240"/>
        <w:jc w:val="both"/>
        <w:rPr>
          <w:rFonts w:asciiTheme="majorHAnsi" w:hAnsiTheme="majorHAnsi"/>
          <w:lang w:val="es-ES"/>
        </w:rPr>
      </w:pPr>
      <w:r>
        <w:rPr>
          <w:rFonts w:asciiTheme="majorHAnsi" w:hAnsiTheme="majorHAnsi"/>
          <w:lang w:val="es-ES"/>
        </w:rPr>
        <w:t>P</w:t>
      </w:r>
      <w:r w:rsidR="00284E46" w:rsidRPr="00A73608">
        <w:rPr>
          <w:rFonts w:asciiTheme="majorHAnsi" w:hAnsiTheme="majorHAnsi"/>
          <w:lang w:val="es-ES"/>
        </w:rPr>
        <w:t>ara calcular el costo de la prestación del servicio de extensión agropecuaria</w:t>
      </w:r>
      <w:r w:rsidR="0056169E">
        <w:rPr>
          <w:rFonts w:asciiTheme="majorHAnsi" w:hAnsiTheme="majorHAnsi"/>
          <w:lang w:val="es-ES"/>
        </w:rPr>
        <w:t xml:space="preserve"> </w:t>
      </w:r>
      <w:r w:rsidR="00284E46" w:rsidRPr="00A73608">
        <w:rPr>
          <w:rFonts w:asciiTheme="majorHAnsi" w:hAnsiTheme="majorHAnsi"/>
          <w:lang w:val="es-ES"/>
        </w:rPr>
        <w:t>(</w:t>
      </w:r>
      <w:r w:rsidR="0056169E">
        <w:rPr>
          <w:rFonts w:asciiTheme="majorHAnsi" w:hAnsiTheme="majorHAnsi"/>
          <w:lang w:val="es-ES"/>
        </w:rPr>
        <w:t xml:space="preserve">Acción </w:t>
      </w:r>
      <w:r w:rsidR="00284E46" w:rsidRPr="00A73608">
        <w:rPr>
          <w:rFonts w:asciiTheme="majorHAnsi" w:hAnsiTheme="majorHAnsi"/>
          <w:lang w:val="es-ES"/>
        </w:rPr>
        <w:t>2.2), se realizó un costeo</w:t>
      </w:r>
      <w:r w:rsidR="00AC3E2D">
        <w:rPr>
          <w:rFonts w:asciiTheme="majorHAnsi" w:hAnsiTheme="majorHAnsi"/>
          <w:lang w:val="es-ES"/>
        </w:rPr>
        <w:t xml:space="preserve"> </w:t>
      </w:r>
      <w:r w:rsidR="00AC3E2D" w:rsidRPr="0056169E">
        <w:rPr>
          <w:rFonts w:asciiTheme="majorHAnsi" w:hAnsiTheme="majorHAnsi"/>
          <w:lang w:val="es-ES"/>
        </w:rPr>
        <w:t>aproximado</w:t>
      </w:r>
      <w:r w:rsidR="00284E46" w:rsidRPr="00A73608">
        <w:rPr>
          <w:rFonts w:asciiTheme="majorHAnsi" w:hAnsiTheme="majorHAnsi"/>
          <w:lang w:val="es-ES"/>
        </w:rPr>
        <w:t xml:space="preserve"> de la prestación del servicio de extensión agropecuaria bajo el enfoque definido en la Ley 1876/2017, contemplando métodos de extensión individuales (visitas a finca), grupales (taller, demostración, día de campo, conversatorio, práctica, etc.) y masivos (programas de radio, emisión de periódicos, boletines, afiches, etc.). </w:t>
      </w:r>
    </w:p>
    <w:p w14:paraId="77163095" w14:textId="77777777" w:rsidR="00180EF8" w:rsidRDefault="00284E46" w:rsidP="003C07F1">
      <w:pPr>
        <w:pStyle w:val="Sinespaciado"/>
        <w:spacing w:after="240"/>
        <w:jc w:val="both"/>
        <w:rPr>
          <w:rFonts w:asciiTheme="majorHAnsi" w:hAnsiTheme="majorHAnsi"/>
          <w:lang w:val="es-ES"/>
        </w:rPr>
      </w:pPr>
      <w:r w:rsidRPr="00A73608">
        <w:rPr>
          <w:rFonts w:asciiTheme="majorHAnsi" w:hAnsiTheme="majorHAnsi"/>
          <w:lang w:val="es-ES"/>
        </w:rPr>
        <w:t xml:space="preserve">Además, se contempló la labor del extensionista agropecuario con mayor dedicación horaria en trabajo de campo en contraste con las labores de atención y trabajo de oficina. </w:t>
      </w:r>
    </w:p>
    <w:p w14:paraId="718D558B" w14:textId="53DE8855" w:rsidR="00284E46" w:rsidRDefault="00284E46" w:rsidP="00F71F84">
      <w:pPr>
        <w:pStyle w:val="Sinespaciado"/>
        <w:spacing w:after="120"/>
        <w:jc w:val="both"/>
        <w:rPr>
          <w:rFonts w:asciiTheme="majorHAnsi" w:hAnsiTheme="majorHAnsi"/>
          <w:lang w:val="es-ES"/>
        </w:rPr>
      </w:pPr>
      <w:r w:rsidRPr="00A73608">
        <w:rPr>
          <w:rFonts w:asciiTheme="majorHAnsi" w:hAnsiTheme="majorHAnsi"/>
          <w:lang w:val="es-ES"/>
        </w:rPr>
        <w:t>Para el costeo se consideraron los siguientes supuestos y bases de cálculo:</w:t>
      </w:r>
    </w:p>
    <w:p w14:paraId="08250E38" w14:textId="442C3FAA" w:rsidR="00B525C8" w:rsidRPr="00A73608" w:rsidRDefault="00EC2491" w:rsidP="00B525C8">
      <w:pPr>
        <w:pStyle w:val="Sinespaciado"/>
        <w:spacing w:after="120"/>
        <w:jc w:val="center"/>
        <w:rPr>
          <w:rFonts w:asciiTheme="majorHAnsi" w:hAnsiTheme="majorHAnsi"/>
          <w:lang w:val="es-ES"/>
        </w:rPr>
      </w:pPr>
      <w:r>
        <w:rPr>
          <w:rFonts w:asciiTheme="majorHAnsi" w:hAnsiTheme="majorHAnsi"/>
          <w:b/>
          <w:lang w:val="es-ES"/>
        </w:rPr>
        <w:t>Tabla 9</w:t>
      </w:r>
      <w:r w:rsidR="00B525C8" w:rsidRPr="00B525C8">
        <w:rPr>
          <w:rFonts w:asciiTheme="majorHAnsi" w:hAnsiTheme="majorHAnsi"/>
          <w:b/>
          <w:lang w:val="es-ES"/>
        </w:rPr>
        <w:t>.</w:t>
      </w:r>
      <w:r w:rsidR="00B525C8">
        <w:rPr>
          <w:rFonts w:asciiTheme="majorHAnsi" w:hAnsiTheme="majorHAnsi"/>
          <w:lang w:val="es-ES"/>
        </w:rPr>
        <w:t xml:space="preserve"> Supuestos y bases de cálculo para el costeo del servicio de extensión agropecuaria</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5977"/>
      </w:tblGrid>
      <w:tr w:rsidR="00284E46" w:rsidRPr="00A73608" w14:paraId="4B28EAD6" w14:textId="77777777" w:rsidTr="008C76FB">
        <w:trPr>
          <w:trHeight w:val="20"/>
          <w:jc w:val="center"/>
        </w:trPr>
        <w:tc>
          <w:tcPr>
            <w:tcW w:w="8240" w:type="dxa"/>
            <w:gridSpan w:val="2"/>
            <w:shd w:val="clear" w:color="000000" w:fill="BDD7EE"/>
            <w:noWrap/>
            <w:vAlign w:val="bottom"/>
            <w:hideMark/>
          </w:tcPr>
          <w:p w14:paraId="7EACEDBA" w14:textId="77777777" w:rsidR="00284E46" w:rsidRPr="00A73608" w:rsidRDefault="00284E46" w:rsidP="00284E46">
            <w:pPr>
              <w:spacing w:after="0" w:line="240" w:lineRule="auto"/>
              <w:jc w:val="center"/>
              <w:rPr>
                <w:rFonts w:asciiTheme="majorHAnsi" w:eastAsia="Times New Roman" w:hAnsiTheme="majorHAnsi" w:cs="Times New Roman"/>
                <w:b/>
                <w:bCs/>
                <w:color w:val="000000"/>
                <w:sz w:val="18"/>
                <w:lang w:eastAsia="es-CO"/>
              </w:rPr>
            </w:pPr>
            <w:r w:rsidRPr="00A73608">
              <w:rPr>
                <w:rFonts w:asciiTheme="majorHAnsi" w:eastAsia="Times New Roman" w:hAnsiTheme="majorHAnsi" w:cs="Times New Roman"/>
                <w:b/>
                <w:bCs/>
                <w:color w:val="000000"/>
                <w:sz w:val="18"/>
                <w:lang w:eastAsia="es-CO"/>
              </w:rPr>
              <w:t xml:space="preserve">Actividades del extensionista / método </w:t>
            </w:r>
          </w:p>
        </w:tc>
      </w:tr>
      <w:tr w:rsidR="00284E46" w:rsidRPr="00A73608" w14:paraId="2C5AEBA5" w14:textId="77777777" w:rsidTr="008C76FB">
        <w:trPr>
          <w:trHeight w:val="20"/>
          <w:jc w:val="center"/>
        </w:trPr>
        <w:tc>
          <w:tcPr>
            <w:tcW w:w="2263" w:type="dxa"/>
            <w:shd w:val="clear" w:color="auto" w:fill="auto"/>
            <w:noWrap/>
            <w:vAlign w:val="bottom"/>
            <w:hideMark/>
          </w:tcPr>
          <w:p w14:paraId="7BC5EDBA" w14:textId="77777777" w:rsidR="00284E46" w:rsidRPr="00A73608" w:rsidRDefault="00284E46" w:rsidP="00284E46">
            <w:pPr>
              <w:spacing w:after="0" w:line="240" w:lineRule="auto"/>
              <w:jc w:val="center"/>
              <w:rPr>
                <w:rFonts w:asciiTheme="majorHAnsi" w:eastAsia="Times New Roman" w:hAnsiTheme="majorHAnsi" w:cs="Times New Roman"/>
                <w:b/>
                <w:bCs/>
                <w:color w:val="000000"/>
                <w:sz w:val="18"/>
                <w:lang w:eastAsia="es-CO"/>
              </w:rPr>
            </w:pPr>
            <w:r w:rsidRPr="00A73608">
              <w:rPr>
                <w:rFonts w:asciiTheme="majorHAnsi" w:eastAsia="Times New Roman" w:hAnsiTheme="majorHAnsi" w:cs="Times New Roman"/>
                <w:b/>
                <w:bCs/>
                <w:color w:val="000000"/>
                <w:sz w:val="18"/>
                <w:lang w:eastAsia="es-CO"/>
              </w:rPr>
              <w:t>Método</w:t>
            </w:r>
          </w:p>
        </w:tc>
        <w:tc>
          <w:tcPr>
            <w:tcW w:w="5977" w:type="dxa"/>
            <w:shd w:val="clear" w:color="auto" w:fill="auto"/>
            <w:noWrap/>
            <w:vAlign w:val="bottom"/>
            <w:hideMark/>
          </w:tcPr>
          <w:p w14:paraId="733DFE8A" w14:textId="77777777" w:rsidR="00284E46" w:rsidRPr="00A73608" w:rsidRDefault="00284E46" w:rsidP="00284E46">
            <w:pPr>
              <w:spacing w:after="0" w:line="240" w:lineRule="auto"/>
              <w:jc w:val="center"/>
              <w:rPr>
                <w:rFonts w:asciiTheme="majorHAnsi" w:eastAsia="Times New Roman" w:hAnsiTheme="majorHAnsi" w:cs="Times New Roman"/>
                <w:b/>
                <w:bCs/>
                <w:color w:val="000000"/>
                <w:sz w:val="18"/>
                <w:lang w:eastAsia="es-CO"/>
              </w:rPr>
            </w:pPr>
            <w:r w:rsidRPr="00A73608">
              <w:rPr>
                <w:rFonts w:asciiTheme="majorHAnsi" w:eastAsia="Times New Roman" w:hAnsiTheme="majorHAnsi" w:cs="Times New Roman"/>
                <w:b/>
                <w:bCs/>
                <w:color w:val="000000"/>
                <w:sz w:val="18"/>
                <w:lang w:eastAsia="es-CO"/>
              </w:rPr>
              <w:t>Base de cálculo</w:t>
            </w:r>
          </w:p>
        </w:tc>
      </w:tr>
      <w:tr w:rsidR="00284E46" w:rsidRPr="00A73608" w14:paraId="1D6B43A7" w14:textId="77777777" w:rsidTr="008C76FB">
        <w:trPr>
          <w:trHeight w:val="20"/>
          <w:jc w:val="center"/>
        </w:trPr>
        <w:tc>
          <w:tcPr>
            <w:tcW w:w="2263" w:type="dxa"/>
            <w:shd w:val="clear" w:color="auto" w:fill="auto"/>
            <w:noWrap/>
            <w:vAlign w:val="bottom"/>
            <w:hideMark/>
          </w:tcPr>
          <w:p w14:paraId="370EE7FE"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Individual</w:t>
            </w:r>
          </w:p>
        </w:tc>
        <w:tc>
          <w:tcPr>
            <w:tcW w:w="5977" w:type="dxa"/>
            <w:shd w:val="clear" w:color="auto" w:fill="auto"/>
            <w:vAlign w:val="bottom"/>
            <w:hideMark/>
          </w:tcPr>
          <w:p w14:paraId="51E6C6F3"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8 visitas a UF/semana - 32 visitas al mes</w:t>
            </w:r>
          </w:p>
        </w:tc>
      </w:tr>
      <w:tr w:rsidR="00284E46" w:rsidRPr="00A73608" w14:paraId="62E7F5A2" w14:textId="77777777" w:rsidTr="008C76FB">
        <w:trPr>
          <w:trHeight w:val="20"/>
          <w:jc w:val="center"/>
        </w:trPr>
        <w:tc>
          <w:tcPr>
            <w:tcW w:w="2263" w:type="dxa"/>
            <w:shd w:val="clear" w:color="auto" w:fill="auto"/>
            <w:noWrap/>
            <w:vAlign w:val="bottom"/>
            <w:hideMark/>
          </w:tcPr>
          <w:p w14:paraId="370F1C4F"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Grupales</w:t>
            </w:r>
          </w:p>
        </w:tc>
        <w:tc>
          <w:tcPr>
            <w:tcW w:w="5977" w:type="dxa"/>
            <w:shd w:val="clear" w:color="auto" w:fill="auto"/>
            <w:vAlign w:val="bottom"/>
            <w:hideMark/>
          </w:tcPr>
          <w:p w14:paraId="59BDD6D8"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1 Actividad de 2 horas (Taller, Demostración, Día de campo, Conversatorio, Práctica, etc.)</w:t>
            </w:r>
          </w:p>
        </w:tc>
      </w:tr>
      <w:tr w:rsidR="00284E46" w:rsidRPr="00A73608" w14:paraId="1690F152" w14:textId="77777777" w:rsidTr="008C76FB">
        <w:trPr>
          <w:trHeight w:val="20"/>
          <w:jc w:val="center"/>
        </w:trPr>
        <w:tc>
          <w:tcPr>
            <w:tcW w:w="2263" w:type="dxa"/>
            <w:shd w:val="clear" w:color="auto" w:fill="auto"/>
            <w:noWrap/>
            <w:vAlign w:val="bottom"/>
            <w:hideMark/>
          </w:tcPr>
          <w:p w14:paraId="77C72788"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lastRenderedPageBreak/>
              <w:t>Masivo</w:t>
            </w:r>
          </w:p>
        </w:tc>
        <w:tc>
          <w:tcPr>
            <w:tcW w:w="5977" w:type="dxa"/>
            <w:shd w:val="clear" w:color="auto" w:fill="auto"/>
            <w:vAlign w:val="bottom"/>
            <w:hideMark/>
          </w:tcPr>
          <w:p w14:paraId="2E448AE3"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1 Actividad (programas de radio, periódicos, distribución de boletines, afiches, etc.)</w:t>
            </w:r>
          </w:p>
        </w:tc>
      </w:tr>
      <w:tr w:rsidR="00284E46" w:rsidRPr="00A73608" w14:paraId="3416A5FC" w14:textId="77777777" w:rsidTr="008C76FB">
        <w:trPr>
          <w:trHeight w:val="20"/>
          <w:jc w:val="center"/>
        </w:trPr>
        <w:tc>
          <w:tcPr>
            <w:tcW w:w="8240" w:type="dxa"/>
            <w:gridSpan w:val="2"/>
            <w:shd w:val="clear" w:color="000000" w:fill="BDD7EE"/>
            <w:noWrap/>
            <w:vAlign w:val="bottom"/>
            <w:hideMark/>
          </w:tcPr>
          <w:p w14:paraId="51869BDF" w14:textId="77777777" w:rsidR="00284E46" w:rsidRPr="00A73608" w:rsidRDefault="00284E46" w:rsidP="00284E46">
            <w:pPr>
              <w:spacing w:after="0" w:line="240" w:lineRule="auto"/>
              <w:jc w:val="center"/>
              <w:rPr>
                <w:rFonts w:asciiTheme="majorHAnsi" w:eastAsia="Times New Roman" w:hAnsiTheme="majorHAnsi" w:cs="Times New Roman"/>
                <w:b/>
                <w:bCs/>
                <w:color w:val="000000"/>
                <w:sz w:val="18"/>
                <w:lang w:eastAsia="es-CO"/>
              </w:rPr>
            </w:pPr>
            <w:r w:rsidRPr="00A73608">
              <w:rPr>
                <w:rFonts w:asciiTheme="majorHAnsi" w:eastAsia="Times New Roman" w:hAnsiTheme="majorHAnsi" w:cs="Times New Roman"/>
                <w:b/>
                <w:bCs/>
                <w:color w:val="000000"/>
                <w:sz w:val="18"/>
                <w:lang w:eastAsia="es-CO"/>
              </w:rPr>
              <w:t>Actividades generales del extensionista / 100 UF por mes</w:t>
            </w:r>
          </w:p>
        </w:tc>
      </w:tr>
      <w:tr w:rsidR="00284E46" w:rsidRPr="00A73608" w14:paraId="30F23FEE" w14:textId="77777777" w:rsidTr="008C76FB">
        <w:trPr>
          <w:trHeight w:val="20"/>
          <w:jc w:val="center"/>
        </w:trPr>
        <w:tc>
          <w:tcPr>
            <w:tcW w:w="2263" w:type="dxa"/>
            <w:shd w:val="clear" w:color="auto" w:fill="auto"/>
            <w:noWrap/>
            <w:vAlign w:val="bottom"/>
            <w:hideMark/>
          </w:tcPr>
          <w:p w14:paraId="63EA8492"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1. Trabajo de campo</w:t>
            </w:r>
          </w:p>
        </w:tc>
        <w:tc>
          <w:tcPr>
            <w:tcW w:w="5977" w:type="dxa"/>
            <w:shd w:val="clear" w:color="auto" w:fill="auto"/>
            <w:vAlign w:val="bottom"/>
            <w:hideMark/>
          </w:tcPr>
          <w:p w14:paraId="36ECAE94"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4 días / semana (16 días del mes)</w:t>
            </w:r>
          </w:p>
        </w:tc>
      </w:tr>
      <w:tr w:rsidR="00284E46" w:rsidRPr="00A73608" w14:paraId="7C083DE9" w14:textId="77777777" w:rsidTr="008C76FB">
        <w:trPr>
          <w:trHeight w:val="20"/>
          <w:jc w:val="center"/>
        </w:trPr>
        <w:tc>
          <w:tcPr>
            <w:tcW w:w="2263" w:type="dxa"/>
            <w:shd w:val="clear" w:color="auto" w:fill="auto"/>
            <w:vAlign w:val="bottom"/>
            <w:hideMark/>
          </w:tcPr>
          <w:p w14:paraId="588B50F8"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2. Atención y labores de oficina</w:t>
            </w:r>
          </w:p>
        </w:tc>
        <w:tc>
          <w:tcPr>
            <w:tcW w:w="5977" w:type="dxa"/>
            <w:shd w:val="clear" w:color="auto" w:fill="auto"/>
            <w:noWrap/>
            <w:vAlign w:val="center"/>
            <w:hideMark/>
          </w:tcPr>
          <w:p w14:paraId="73AE2D2E" w14:textId="77777777" w:rsidR="00284E46" w:rsidRPr="00A73608" w:rsidRDefault="00284E46" w:rsidP="00284E46">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1 días / semana (4 días del mes)</w:t>
            </w:r>
          </w:p>
        </w:tc>
      </w:tr>
      <w:tr w:rsidR="008C76FB" w:rsidRPr="00A73608" w14:paraId="0B2959CD" w14:textId="77777777" w:rsidTr="005936CD">
        <w:trPr>
          <w:trHeight w:val="20"/>
          <w:jc w:val="center"/>
        </w:trPr>
        <w:tc>
          <w:tcPr>
            <w:tcW w:w="8240" w:type="dxa"/>
            <w:gridSpan w:val="2"/>
            <w:shd w:val="clear" w:color="auto" w:fill="BDD6EE" w:themeFill="accent5" w:themeFillTint="66"/>
            <w:noWrap/>
            <w:vAlign w:val="center"/>
          </w:tcPr>
          <w:p w14:paraId="1DC78AED" w14:textId="40FF2E1B" w:rsidR="008C76FB" w:rsidRPr="00A73608" w:rsidRDefault="008C76FB" w:rsidP="008C76FB">
            <w:pPr>
              <w:spacing w:after="0" w:line="240" w:lineRule="auto"/>
              <w:jc w:val="center"/>
              <w:rPr>
                <w:rFonts w:asciiTheme="majorHAnsi" w:eastAsia="Times New Roman" w:hAnsiTheme="majorHAnsi" w:cs="Times New Roman"/>
                <w:b/>
                <w:color w:val="000000"/>
                <w:sz w:val="18"/>
                <w:lang w:eastAsia="es-CO"/>
              </w:rPr>
            </w:pPr>
            <w:r w:rsidRPr="00A73608">
              <w:rPr>
                <w:rFonts w:asciiTheme="majorHAnsi" w:eastAsia="Times New Roman" w:hAnsiTheme="majorHAnsi" w:cs="Times New Roman"/>
                <w:b/>
                <w:color w:val="000000"/>
                <w:sz w:val="18"/>
                <w:lang w:eastAsia="es-CO"/>
              </w:rPr>
              <w:t>Servicio de extensión agropecuaria recibido por el productor</w:t>
            </w:r>
          </w:p>
        </w:tc>
      </w:tr>
      <w:tr w:rsidR="008C76FB" w:rsidRPr="00A73608" w14:paraId="32365AAB" w14:textId="77777777" w:rsidTr="005936CD">
        <w:trPr>
          <w:trHeight w:val="20"/>
          <w:jc w:val="center"/>
        </w:trPr>
        <w:tc>
          <w:tcPr>
            <w:tcW w:w="2263" w:type="dxa"/>
            <w:shd w:val="clear" w:color="auto" w:fill="auto"/>
            <w:noWrap/>
            <w:vAlign w:val="center"/>
            <w:hideMark/>
          </w:tcPr>
          <w:p w14:paraId="20482BD0" w14:textId="77777777" w:rsidR="008C76FB" w:rsidRPr="00A73608" w:rsidRDefault="008C76FB" w:rsidP="008C76FB">
            <w:pPr>
              <w:spacing w:after="0" w:line="240" w:lineRule="auto"/>
              <w:jc w:val="center"/>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Visitas a la UF</w:t>
            </w:r>
          </w:p>
        </w:tc>
        <w:tc>
          <w:tcPr>
            <w:tcW w:w="5977" w:type="dxa"/>
            <w:shd w:val="clear" w:color="auto" w:fill="auto"/>
            <w:noWrap/>
            <w:vAlign w:val="bottom"/>
            <w:hideMark/>
          </w:tcPr>
          <w:p w14:paraId="0BC57C18"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A. Cada UF recibiría 4 visitas/año</w:t>
            </w:r>
          </w:p>
        </w:tc>
      </w:tr>
      <w:tr w:rsidR="008C76FB" w:rsidRPr="00A73608" w14:paraId="3C305B45" w14:textId="77777777" w:rsidTr="005936CD">
        <w:trPr>
          <w:trHeight w:val="20"/>
          <w:jc w:val="center"/>
        </w:trPr>
        <w:tc>
          <w:tcPr>
            <w:tcW w:w="2263" w:type="dxa"/>
            <w:shd w:val="clear" w:color="auto" w:fill="auto"/>
            <w:noWrap/>
            <w:vAlign w:val="bottom"/>
            <w:hideMark/>
          </w:tcPr>
          <w:p w14:paraId="6A412391" w14:textId="77777777" w:rsidR="008C76FB" w:rsidRPr="00A73608" w:rsidRDefault="008C76FB" w:rsidP="008C76FB">
            <w:pPr>
              <w:spacing w:after="0" w:line="240" w:lineRule="auto"/>
              <w:jc w:val="center"/>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Visitas de emergencia</w:t>
            </w:r>
          </w:p>
        </w:tc>
        <w:tc>
          <w:tcPr>
            <w:tcW w:w="5977" w:type="dxa"/>
            <w:shd w:val="clear" w:color="auto" w:fill="auto"/>
            <w:noWrap/>
            <w:vAlign w:val="bottom"/>
            <w:hideMark/>
          </w:tcPr>
          <w:p w14:paraId="5FFE5C86"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B. En promedio una visita de emergencia por UF /año</w:t>
            </w:r>
          </w:p>
        </w:tc>
      </w:tr>
      <w:tr w:rsidR="008C76FB" w:rsidRPr="00A73608" w14:paraId="42710A3A" w14:textId="77777777" w:rsidTr="005936CD">
        <w:trPr>
          <w:trHeight w:val="20"/>
          <w:jc w:val="center"/>
        </w:trPr>
        <w:tc>
          <w:tcPr>
            <w:tcW w:w="2263" w:type="dxa"/>
            <w:vMerge w:val="restart"/>
            <w:shd w:val="clear" w:color="auto" w:fill="auto"/>
            <w:noWrap/>
            <w:vAlign w:val="center"/>
            <w:hideMark/>
          </w:tcPr>
          <w:p w14:paraId="262A30B2" w14:textId="77777777" w:rsidR="008C76FB" w:rsidRPr="00A73608" w:rsidRDefault="008C76FB" w:rsidP="008C76FB">
            <w:pPr>
              <w:spacing w:after="0" w:line="240" w:lineRule="auto"/>
              <w:jc w:val="center"/>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Métodos grupales</w:t>
            </w:r>
          </w:p>
        </w:tc>
        <w:tc>
          <w:tcPr>
            <w:tcW w:w="5977" w:type="dxa"/>
            <w:shd w:val="clear" w:color="auto" w:fill="auto"/>
            <w:vAlign w:val="bottom"/>
            <w:hideMark/>
          </w:tcPr>
          <w:p w14:paraId="3B9AF335"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C. Cada productor que representa una UF participaría en 6 actividades /año</w:t>
            </w:r>
          </w:p>
        </w:tc>
      </w:tr>
      <w:tr w:rsidR="008C76FB" w:rsidRPr="00A73608" w14:paraId="280070C8" w14:textId="77777777" w:rsidTr="005936CD">
        <w:trPr>
          <w:trHeight w:val="20"/>
          <w:jc w:val="center"/>
        </w:trPr>
        <w:tc>
          <w:tcPr>
            <w:tcW w:w="2263" w:type="dxa"/>
            <w:vMerge/>
            <w:vAlign w:val="center"/>
            <w:hideMark/>
          </w:tcPr>
          <w:p w14:paraId="05A221F9"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p>
        </w:tc>
        <w:tc>
          <w:tcPr>
            <w:tcW w:w="5977" w:type="dxa"/>
            <w:shd w:val="clear" w:color="auto" w:fill="auto"/>
            <w:vAlign w:val="bottom"/>
            <w:hideMark/>
          </w:tcPr>
          <w:p w14:paraId="37FE0B33"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D. Giras técnicas /año/20 personas, cada productor participaría en una gira /año</w:t>
            </w:r>
          </w:p>
        </w:tc>
      </w:tr>
      <w:tr w:rsidR="008C76FB" w:rsidRPr="00A73608" w14:paraId="12867C60" w14:textId="77777777" w:rsidTr="005936CD">
        <w:trPr>
          <w:trHeight w:val="20"/>
          <w:jc w:val="center"/>
        </w:trPr>
        <w:tc>
          <w:tcPr>
            <w:tcW w:w="2263" w:type="dxa"/>
            <w:vMerge w:val="restart"/>
            <w:shd w:val="clear" w:color="auto" w:fill="auto"/>
            <w:noWrap/>
            <w:vAlign w:val="center"/>
            <w:hideMark/>
          </w:tcPr>
          <w:p w14:paraId="33F3668C" w14:textId="77777777" w:rsidR="008C76FB" w:rsidRPr="00A73608" w:rsidRDefault="008C76FB" w:rsidP="008C76FB">
            <w:pPr>
              <w:spacing w:after="0" w:line="240" w:lineRule="auto"/>
              <w:jc w:val="center"/>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Masivos</w:t>
            </w:r>
          </w:p>
        </w:tc>
        <w:tc>
          <w:tcPr>
            <w:tcW w:w="5977" w:type="dxa"/>
            <w:shd w:val="clear" w:color="auto" w:fill="auto"/>
            <w:vAlign w:val="bottom"/>
            <w:hideMark/>
          </w:tcPr>
          <w:p w14:paraId="1BB1E40D"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E. Programa de radio semanal con alcance para más de 1000 personas</w:t>
            </w:r>
          </w:p>
        </w:tc>
      </w:tr>
      <w:tr w:rsidR="008C76FB" w:rsidRPr="00A73608" w14:paraId="3DF38C7A" w14:textId="77777777" w:rsidTr="005936CD">
        <w:trPr>
          <w:trHeight w:val="20"/>
          <w:jc w:val="center"/>
        </w:trPr>
        <w:tc>
          <w:tcPr>
            <w:tcW w:w="2263" w:type="dxa"/>
            <w:vMerge/>
            <w:vAlign w:val="center"/>
            <w:hideMark/>
          </w:tcPr>
          <w:p w14:paraId="4C5E2473"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p>
        </w:tc>
        <w:tc>
          <w:tcPr>
            <w:tcW w:w="5977" w:type="dxa"/>
            <w:shd w:val="clear" w:color="auto" w:fill="auto"/>
            <w:noWrap/>
            <w:vAlign w:val="bottom"/>
            <w:hideMark/>
          </w:tcPr>
          <w:p w14:paraId="52A924BF"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F. Emisión de periódico (mensual) por 1000 unidades</w:t>
            </w:r>
          </w:p>
        </w:tc>
      </w:tr>
      <w:tr w:rsidR="008C76FB" w:rsidRPr="00A73608" w14:paraId="50172BB4" w14:textId="77777777" w:rsidTr="005936CD">
        <w:trPr>
          <w:trHeight w:val="20"/>
          <w:jc w:val="center"/>
        </w:trPr>
        <w:tc>
          <w:tcPr>
            <w:tcW w:w="2263" w:type="dxa"/>
            <w:vMerge/>
            <w:vAlign w:val="center"/>
            <w:hideMark/>
          </w:tcPr>
          <w:p w14:paraId="4360FD09"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p>
        </w:tc>
        <w:tc>
          <w:tcPr>
            <w:tcW w:w="5977" w:type="dxa"/>
            <w:shd w:val="clear" w:color="auto" w:fill="auto"/>
            <w:noWrap/>
            <w:vAlign w:val="bottom"/>
            <w:hideMark/>
          </w:tcPr>
          <w:p w14:paraId="7AD81E81"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G. Distribución de Cartillas por municipio (anual)</w:t>
            </w:r>
          </w:p>
        </w:tc>
      </w:tr>
      <w:tr w:rsidR="008C76FB" w:rsidRPr="00A73608" w14:paraId="403A4526" w14:textId="77777777" w:rsidTr="005936CD">
        <w:trPr>
          <w:trHeight w:val="20"/>
          <w:jc w:val="center"/>
        </w:trPr>
        <w:tc>
          <w:tcPr>
            <w:tcW w:w="2263" w:type="dxa"/>
            <w:vMerge/>
            <w:vAlign w:val="center"/>
            <w:hideMark/>
          </w:tcPr>
          <w:p w14:paraId="23F48783"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p>
        </w:tc>
        <w:tc>
          <w:tcPr>
            <w:tcW w:w="5977" w:type="dxa"/>
            <w:shd w:val="clear" w:color="auto" w:fill="auto"/>
            <w:noWrap/>
            <w:vAlign w:val="bottom"/>
            <w:hideMark/>
          </w:tcPr>
          <w:p w14:paraId="76FF6E60"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H. Distribución de Boletines por municipio (anual)</w:t>
            </w:r>
          </w:p>
        </w:tc>
      </w:tr>
      <w:tr w:rsidR="008C76FB" w:rsidRPr="00A73608" w14:paraId="095FACF3" w14:textId="77777777" w:rsidTr="005936CD">
        <w:trPr>
          <w:trHeight w:val="20"/>
          <w:jc w:val="center"/>
        </w:trPr>
        <w:tc>
          <w:tcPr>
            <w:tcW w:w="2263" w:type="dxa"/>
            <w:vMerge/>
            <w:vAlign w:val="center"/>
            <w:hideMark/>
          </w:tcPr>
          <w:p w14:paraId="167B886A"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p>
        </w:tc>
        <w:tc>
          <w:tcPr>
            <w:tcW w:w="5977" w:type="dxa"/>
            <w:shd w:val="clear" w:color="auto" w:fill="auto"/>
            <w:noWrap/>
            <w:vAlign w:val="bottom"/>
            <w:hideMark/>
          </w:tcPr>
          <w:p w14:paraId="1C2D1A89" w14:textId="77777777" w:rsidR="008C76FB" w:rsidRPr="00A73608" w:rsidRDefault="008C76FB" w:rsidP="008C76FB">
            <w:pPr>
              <w:spacing w:after="0" w:line="240" w:lineRule="auto"/>
              <w:rPr>
                <w:rFonts w:asciiTheme="majorHAnsi" w:eastAsia="Times New Roman" w:hAnsiTheme="majorHAnsi" w:cs="Times New Roman"/>
                <w:color w:val="000000"/>
                <w:sz w:val="18"/>
                <w:lang w:eastAsia="es-CO"/>
              </w:rPr>
            </w:pPr>
            <w:r w:rsidRPr="00A73608">
              <w:rPr>
                <w:rFonts w:asciiTheme="majorHAnsi" w:eastAsia="Times New Roman" w:hAnsiTheme="majorHAnsi" w:cs="Times New Roman"/>
                <w:color w:val="000000"/>
                <w:sz w:val="18"/>
                <w:lang w:eastAsia="es-CO"/>
              </w:rPr>
              <w:t>I. Distribución de Afiches por municipio (anual)</w:t>
            </w:r>
          </w:p>
        </w:tc>
      </w:tr>
    </w:tbl>
    <w:p w14:paraId="77566E78" w14:textId="77777777" w:rsidR="00B525C8" w:rsidRDefault="00B525C8" w:rsidP="003C07F1">
      <w:pPr>
        <w:pStyle w:val="Sinespaciado"/>
        <w:jc w:val="both"/>
        <w:rPr>
          <w:rFonts w:asciiTheme="majorHAnsi" w:hAnsiTheme="majorHAnsi"/>
          <w:lang w:val="es-ES"/>
        </w:rPr>
      </w:pPr>
    </w:p>
    <w:p w14:paraId="09F265EE" w14:textId="5CFE7BA1" w:rsidR="005936CD" w:rsidRPr="00A73608" w:rsidRDefault="005936CD" w:rsidP="003C07F1">
      <w:pPr>
        <w:pStyle w:val="Sinespaciado"/>
        <w:jc w:val="both"/>
        <w:rPr>
          <w:rFonts w:asciiTheme="majorHAnsi" w:hAnsiTheme="majorHAnsi"/>
          <w:lang w:val="es-ES"/>
        </w:rPr>
      </w:pPr>
      <w:r w:rsidRPr="00A73608">
        <w:rPr>
          <w:rFonts w:asciiTheme="majorHAnsi" w:hAnsiTheme="majorHAnsi"/>
          <w:lang w:val="es-ES"/>
        </w:rPr>
        <w:t xml:space="preserve">Tomando como base los datos anteriores, se realizaron los siguientes cálculos de costeo para determinar el costo unitario </w:t>
      </w:r>
      <w:r w:rsidR="00CC06A0" w:rsidRPr="00A73608">
        <w:rPr>
          <w:rFonts w:asciiTheme="majorHAnsi" w:hAnsiTheme="majorHAnsi"/>
          <w:lang w:val="es-ES"/>
        </w:rPr>
        <w:t xml:space="preserve">por Unidad Familiar (UF) </w:t>
      </w:r>
      <w:r w:rsidRPr="00A73608">
        <w:rPr>
          <w:rFonts w:asciiTheme="majorHAnsi" w:hAnsiTheme="majorHAnsi"/>
          <w:lang w:val="es-ES"/>
        </w:rPr>
        <w:t>de la prestación del servicio:</w:t>
      </w:r>
    </w:p>
    <w:p w14:paraId="768562CC" w14:textId="77777777" w:rsidR="00F71F84" w:rsidRPr="007D40F5" w:rsidRDefault="00F71F84" w:rsidP="003C07F1">
      <w:pPr>
        <w:pStyle w:val="Sinespaciado"/>
        <w:jc w:val="both"/>
        <w:rPr>
          <w:rFonts w:asciiTheme="majorHAnsi" w:hAnsiTheme="majorHAnsi"/>
          <w:sz w:val="12"/>
          <w:lang w:val="es-ES"/>
        </w:rPr>
      </w:pPr>
    </w:p>
    <w:p w14:paraId="1FC73334" w14:textId="331ABBC7" w:rsidR="00B525C8" w:rsidRPr="00A73608" w:rsidRDefault="00EC2491" w:rsidP="00B525C8">
      <w:pPr>
        <w:pStyle w:val="Sinespaciado"/>
        <w:jc w:val="center"/>
        <w:rPr>
          <w:rFonts w:asciiTheme="majorHAnsi" w:hAnsiTheme="majorHAnsi"/>
          <w:lang w:val="es-ES"/>
        </w:rPr>
      </w:pPr>
      <w:r>
        <w:rPr>
          <w:rFonts w:asciiTheme="majorHAnsi" w:hAnsiTheme="majorHAnsi"/>
          <w:b/>
          <w:lang w:val="es-ES"/>
        </w:rPr>
        <w:t>Tabla 10</w:t>
      </w:r>
      <w:r w:rsidR="00B525C8" w:rsidRPr="00B525C8">
        <w:rPr>
          <w:rFonts w:asciiTheme="majorHAnsi" w:hAnsiTheme="majorHAnsi"/>
          <w:b/>
          <w:lang w:val="es-ES"/>
        </w:rPr>
        <w:t>.</w:t>
      </w:r>
      <w:r w:rsidR="00B525C8">
        <w:rPr>
          <w:rFonts w:asciiTheme="majorHAnsi" w:hAnsiTheme="majorHAnsi"/>
          <w:b/>
          <w:lang w:val="es-ES"/>
        </w:rPr>
        <w:t xml:space="preserve"> </w:t>
      </w:r>
      <w:r w:rsidR="00B525C8" w:rsidRPr="00B525C8">
        <w:rPr>
          <w:rFonts w:asciiTheme="majorHAnsi" w:hAnsiTheme="majorHAnsi"/>
          <w:lang w:val="es-ES"/>
        </w:rPr>
        <w:t>Costeo del servicio de extensión agropecuaria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6"/>
        <w:gridCol w:w="3102"/>
        <w:gridCol w:w="850"/>
        <w:gridCol w:w="1276"/>
        <w:gridCol w:w="1176"/>
        <w:gridCol w:w="1278"/>
      </w:tblGrid>
      <w:tr w:rsidR="00C2032A" w:rsidRPr="00A73608" w14:paraId="5AD26EA5" w14:textId="77777777" w:rsidTr="000A0B21">
        <w:trPr>
          <w:trHeight w:val="20"/>
        </w:trPr>
        <w:tc>
          <w:tcPr>
            <w:tcW w:w="8828" w:type="dxa"/>
            <w:gridSpan w:val="6"/>
            <w:shd w:val="clear" w:color="000000" w:fill="D9E1F2"/>
            <w:noWrap/>
            <w:vAlign w:val="center"/>
            <w:hideMark/>
          </w:tcPr>
          <w:p w14:paraId="6333F1DC" w14:textId="77777777" w:rsidR="00C2032A" w:rsidRPr="00A73608" w:rsidRDefault="00C2032A" w:rsidP="00C2032A">
            <w:pPr>
              <w:spacing w:after="0" w:line="240" w:lineRule="auto"/>
              <w:contextualSpacing/>
              <w:jc w:val="center"/>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1. Trabajo de campo</w:t>
            </w:r>
          </w:p>
        </w:tc>
      </w:tr>
      <w:tr w:rsidR="00C2032A" w:rsidRPr="00A73608" w14:paraId="6C31BDFD" w14:textId="77777777" w:rsidTr="000A0B21">
        <w:trPr>
          <w:trHeight w:val="20"/>
        </w:trPr>
        <w:tc>
          <w:tcPr>
            <w:tcW w:w="1146" w:type="dxa"/>
            <w:shd w:val="clear" w:color="auto" w:fill="auto"/>
            <w:noWrap/>
            <w:vAlign w:val="center"/>
            <w:hideMark/>
          </w:tcPr>
          <w:p w14:paraId="55EB9518" w14:textId="77777777" w:rsidR="00C2032A" w:rsidRPr="00A73608" w:rsidRDefault="00C2032A" w:rsidP="00C2032A">
            <w:pPr>
              <w:spacing w:after="0" w:line="240" w:lineRule="auto"/>
              <w:contextualSpacing/>
              <w:jc w:val="center"/>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Métodos</w:t>
            </w:r>
          </w:p>
        </w:tc>
        <w:tc>
          <w:tcPr>
            <w:tcW w:w="3102" w:type="dxa"/>
            <w:shd w:val="clear" w:color="auto" w:fill="auto"/>
            <w:noWrap/>
            <w:vAlign w:val="center"/>
            <w:hideMark/>
          </w:tcPr>
          <w:p w14:paraId="49C39BCD" w14:textId="77777777" w:rsidR="00C2032A" w:rsidRPr="00A73608" w:rsidRDefault="00C2032A" w:rsidP="00C2032A">
            <w:pPr>
              <w:spacing w:after="0" w:line="240" w:lineRule="auto"/>
              <w:contextualSpacing/>
              <w:jc w:val="center"/>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Base de cálculo y Descripción</w:t>
            </w:r>
          </w:p>
        </w:tc>
        <w:tc>
          <w:tcPr>
            <w:tcW w:w="850" w:type="dxa"/>
            <w:shd w:val="clear" w:color="auto" w:fill="auto"/>
            <w:noWrap/>
            <w:vAlign w:val="center"/>
            <w:hideMark/>
          </w:tcPr>
          <w:p w14:paraId="703CD865" w14:textId="77777777" w:rsidR="00C2032A" w:rsidRPr="00A73608" w:rsidRDefault="00C2032A" w:rsidP="00C2032A">
            <w:pPr>
              <w:spacing w:after="0" w:line="240" w:lineRule="auto"/>
              <w:contextualSpacing/>
              <w:jc w:val="center"/>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Cantidad</w:t>
            </w:r>
          </w:p>
        </w:tc>
        <w:tc>
          <w:tcPr>
            <w:tcW w:w="1276" w:type="dxa"/>
            <w:shd w:val="clear" w:color="auto" w:fill="auto"/>
            <w:noWrap/>
            <w:vAlign w:val="center"/>
            <w:hideMark/>
          </w:tcPr>
          <w:p w14:paraId="69467B1F" w14:textId="77777777" w:rsidR="00C2032A" w:rsidRPr="00A73608" w:rsidRDefault="00C2032A" w:rsidP="000A0B21">
            <w:pPr>
              <w:spacing w:after="0" w:line="240" w:lineRule="auto"/>
              <w:contextualSpacing/>
              <w:jc w:val="center"/>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Unidad</w:t>
            </w:r>
          </w:p>
        </w:tc>
        <w:tc>
          <w:tcPr>
            <w:tcW w:w="1176" w:type="dxa"/>
            <w:shd w:val="clear" w:color="auto" w:fill="auto"/>
            <w:noWrap/>
            <w:vAlign w:val="center"/>
            <w:hideMark/>
          </w:tcPr>
          <w:p w14:paraId="4FEE4BC6" w14:textId="77777777" w:rsidR="00C2032A" w:rsidRPr="00A73608" w:rsidRDefault="00C2032A" w:rsidP="00C2032A">
            <w:pPr>
              <w:spacing w:after="0" w:line="240" w:lineRule="auto"/>
              <w:contextualSpacing/>
              <w:jc w:val="center"/>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Valor unitario</w:t>
            </w:r>
          </w:p>
        </w:tc>
        <w:tc>
          <w:tcPr>
            <w:tcW w:w="1278" w:type="dxa"/>
            <w:shd w:val="clear" w:color="auto" w:fill="auto"/>
            <w:noWrap/>
            <w:vAlign w:val="center"/>
            <w:hideMark/>
          </w:tcPr>
          <w:p w14:paraId="03DDB9E8" w14:textId="77777777" w:rsidR="00C2032A" w:rsidRPr="00A73608" w:rsidRDefault="00C2032A" w:rsidP="00C2032A">
            <w:pPr>
              <w:spacing w:after="0" w:line="240" w:lineRule="auto"/>
              <w:contextualSpacing/>
              <w:jc w:val="center"/>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Valor total</w:t>
            </w:r>
          </w:p>
        </w:tc>
      </w:tr>
      <w:tr w:rsidR="00C2032A" w:rsidRPr="00A73608" w14:paraId="716893A2" w14:textId="77777777" w:rsidTr="000A0B21">
        <w:trPr>
          <w:trHeight w:val="20"/>
        </w:trPr>
        <w:tc>
          <w:tcPr>
            <w:tcW w:w="1146" w:type="dxa"/>
            <w:vMerge w:val="restart"/>
            <w:shd w:val="clear" w:color="auto" w:fill="auto"/>
            <w:noWrap/>
            <w:vAlign w:val="center"/>
            <w:hideMark/>
          </w:tcPr>
          <w:p w14:paraId="4B528267"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Individual</w:t>
            </w:r>
          </w:p>
        </w:tc>
        <w:tc>
          <w:tcPr>
            <w:tcW w:w="3102" w:type="dxa"/>
            <w:shd w:val="clear" w:color="auto" w:fill="auto"/>
            <w:noWrap/>
            <w:vAlign w:val="center"/>
            <w:hideMark/>
          </w:tcPr>
          <w:p w14:paraId="37618E0C"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Salario promedio del extensionista / año</w:t>
            </w:r>
          </w:p>
        </w:tc>
        <w:tc>
          <w:tcPr>
            <w:tcW w:w="850" w:type="dxa"/>
            <w:shd w:val="clear" w:color="auto" w:fill="auto"/>
            <w:noWrap/>
            <w:vAlign w:val="center"/>
            <w:hideMark/>
          </w:tcPr>
          <w:p w14:paraId="34933A07"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12</w:t>
            </w:r>
          </w:p>
        </w:tc>
        <w:tc>
          <w:tcPr>
            <w:tcW w:w="1276" w:type="dxa"/>
            <w:shd w:val="clear" w:color="auto" w:fill="auto"/>
            <w:noWrap/>
            <w:vAlign w:val="center"/>
            <w:hideMark/>
          </w:tcPr>
          <w:p w14:paraId="0F25E5F4"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salario/mes</w:t>
            </w:r>
          </w:p>
        </w:tc>
        <w:tc>
          <w:tcPr>
            <w:tcW w:w="1176" w:type="dxa"/>
            <w:shd w:val="clear" w:color="auto" w:fill="auto"/>
            <w:noWrap/>
            <w:vAlign w:val="center"/>
            <w:hideMark/>
          </w:tcPr>
          <w:p w14:paraId="3BF37917" w14:textId="15BD1780"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4.000.000 </w:t>
            </w:r>
          </w:p>
        </w:tc>
        <w:tc>
          <w:tcPr>
            <w:tcW w:w="1278" w:type="dxa"/>
            <w:shd w:val="clear" w:color="auto" w:fill="auto"/>
            <w:noWrap/>
            <w:vAlign w:val="center"/>
            <w:hideMark/>
          </w:tcPr>
          <w:p w14:paraId="06792AB8" w14:textId="2DAE252C"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48.000.000 </w:t>
            </w:r>
          </w:p>
        </w:tc>
      </w:tr>
      <w:tr w:rsidR="00C2032A" w:rsidRPr="00A73608" w14:paraId="433FAC2B" w14:textId="77777777" w:rsidTr="000A0B21">
        <w:trPr>
          <w:trHeight w:val="20"/>
        </w:trPr>
        <w:tc>
          <w:tcPr>
            <w:tcW w:w="1146" w:type="dxa"/>
            <w:vMerge/>
            <w:vAlign w:val="center"/>
            <w:hideMark/>
          </w:tcPr>
          <w:p w14:paraId="53F48FEF"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684294D2"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Salario promedio del extensionista / día </w:t>
            </w:r>
          </w:p>
        </w:tc>
        <w:tc>
          <w:tcPr>
            <w:tcW w:w="850" w:type="dxa"/>
            <w:shd w:val="clear" w:color="auto" w:fill="auto"/>
            <w:noWrap/>
            <w:vAlign w:val="center"/>
            <w:hideMark/>
          </w:tcPr>
          <w:p w14:paraId="5D5423B0"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20</w:t>
            </w:r>
          </w:p>
        </w:tc>
        <w:tc>
          <w:tcPr>
            <w:tcW w:w="1276" w:type="dxa"/>
            <w:shd w:val="clear" w:color="auto" w:fill="auto"/>
            <w:noWrap/>
            <w:vAlign w:val="center"/>
            <w:hideMark/>
          </w:tcPr>
          <w:p w14:paraId="7FEA0A40"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días laborales/mes</w:t>
            </w:r>
          </w:p>
        </w:tc>
        <w:tc>
          <w:tcPr>
            <w:tcW w:w="1176" w:type="dxa"/>
            <w:shd w:val="clear" w:color="auto" w:fill="auto"/>
            <w:noWrap/>
            <w:vAlign w:val="center"/>
            <w:hideMark/>
          </w:tcPr>
          <w:p w14:paraId="509827FE" w14:textId="123B53E8"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200.000 </w:t>
            </w:r>
          </w:p>
        </w:tc>
        <w:tc>
          <w:tcPr>
            <w:tcW w:w="1278" w:type="dxa"/>
            <w:shd w:val="clear" w:color="auto" w:fill="auto"/>
            <w:noWrap/>
            <w:vAlign w:val="center"/>
            <w:hideMark/>
          </w:tcPr>
          <w:p w14:paraId="78432718" w14:textId="77777777"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r>
      <w:tr w:rsidR="00C2032A" w:rsidRPr="00A73608" w14:paraId="61EF7264" w14:textId="77777777" w:rsidTr="000A0B21">
        <w:trPr>
          <w:trHeight w:val="20"/>
        </w:trPr>
        <w:tc>
          <w:tcPr>
            <w:tcW w:w="1146" w:type="dxa"/>
            <w:vMerge/>
            <w:vAlign w:val="center"/>
            <w:hideMark/>
          </w:tcPr>
          <w:p w14:paraId="7CBCCF8D"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72733D92"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A. Salario promedio del extensionista / 2 visitas a UF</w:t>
            </w:r>
          </w:p>
        </w:tc>
        <w:tc>
          <w:tcPr>
            <w:tcW w:w="850" w:type="dxa"/>
            <w:shd w:val="clear" w:color="auto" w:fill="auto"/>
            <w:noWrap/>
            <w:vAlign w:val="center"/>
            <w:hideMark/>
          </w:tcPr>
          <w:p w14:paraId="4A0DF2DD"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2</w:t>
            </w:r>
          </w:p>
        </w:tc>
        <w:tc>
          <w:tcPr>
            <w:tcW w:w="1276" w:type="dxa"/>
            <w:shd w:val="clear" w:color="auto" w:fill="auto"/>
            <w:noWrap/>
            <w:vAlign w:val="center"/>
            <w:hideMark/>
          </w:tcPr>
          <w:p w14:paraId="142AE69F"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visitas a UF</w:t>
            </w:r>
          </w:p>
        </w:tc>
        <w:tc>
          <w:tcPr>
            <w:tcW w:w="1176" w:type="dxa"/>
            <w:shd w:val="clear" w:color="auto" w:fill="auto"/>
            <w:noWrap/>
            <w:vAlign w:val="center"/>
            <w:hideMark/>
          </w:tcPr>
          <w:p w14:paraId="4CDE2F89" w14:textId="090EACEC"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50.000 </w:t>
            </w:r>
          </w:p>
        </w:tc>
        <w:tc>
          <w:tcPr>
            <w:tcW w:w="1278" w:type="dxa"/>
            <w:shd w:val="clear" w:color="auto" w:fill="auto"/>
            <w:noWrap/>
            <w:vAlign w:val="center"/>
            <w:hideMark/>
          </w:tcPr>
          <w:p w14:paraId="02D28971" w14:textId="7206B0CA"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100.000 </w:t>
            </w:r>
          </w:p>
        </w:tc>
      </w:tr>
      <w:tr w:rsidR="00C2032A" w:rsidRPr="00A73608" w14:paraId="7C8982AE" w14:textId="77777777" w:rsidTr="000A0B21">
        <w:trPr>
          <w:trHeight w:val="20"/>
        </w:trPr>
        <w:tc>
          <w:tcPr>
            <w:tcW w:w="1146" w:type="dxa"/>
            <w:vMerge/>
            <w:vAlign w:val="center"/>
            <w:hideMark/>
          </w:tcPr>
          <w:p w14:paraId="3A0444F7"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50D69205"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B. Transporte promedio/día/2 visitas a UF</w:t>
            </w:r>
          </w:p>
        </w:tc>
        <w:tc>
          <w:tcPr>
            <w:tcW w:w="850" w:type="dxa"/>
            <w:shd w:val="clear" w:color="auto" w:fill="auto"/>
            <w:noWrap/>
            <w:vAlign w:val="center"/>
            <w:hideMark/>
          </w:tcPr>
          <w:p w14:paraId="52AC9EEF"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4</w:t>
            </w:r>
          </w:p>
        </w:tc>
        <w:tc>
          <w:tcPr>
            <w:tcW w:w="1276" w:type="dxa"/>
            <w:shd w:val="clear" w:color="auto" w:fill="auto"/>
            <w:noWrap/>
            <w:vAlign w:val="center"/>
            <w:hideMark/>
          </w:tcPr>
          <w:p w14:paraId="435A1DDA"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transportes</w:t>
            </w:r>
          </w:p>
        </w:tc>
        <w:tc>
          <w:tcPr>
            <w:tcW w:w="1176" w:type="dxa"/>
            <w:shd w:val="clear" w:color="auto" w:fill="auto"/>
            <w:noWrap/>
            <w:vAlign w:val="center"/>
            <w:hideMark/>
          </w:tcPr>
          <w:p w14:paraId="733804AA" w14:textId="51624490"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5.000 </w:t>
            </w:r>
          </w:p>
        </w:tc>
        <w:tc>
          <w:tcPr>
            <w:tcW w:w="1278" w:type="dxa"/>
            <w:shd w:val="clear" w:color="auto" w:fill="auto"/>
            <w:noWrap/>
            <w:vAlign w:val="center"/>
            <w:hideMark/>
          </w:tcPr>
          <w:p w14:paraId="4717F11B" w14:textId="05B92854"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20.000 </w:t>
            </w:r>
          </w:p>
        </w:tc>
      </w:tr>
      <w:tr w:rsidR="00C2032A" w:rsidRPr="00A73608" w14:paraId="23B25C92" w14:textId="77777777" w:rsidTr="000A0B21">
        <w:trPr>
          <w:trHeight w:val="20"/>
        </w:trPr>
        <w:tc>
          <w:tcPr>
            <w:tcW w:w="1146" w:type="dxa"/>
            <w:vMerge/>
            <w:vAlign w:val="center"/>
            <w:hideMark/>
          </w:tcPr>
          <w:p w14:paraId="4267404D"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0E1AA3D1"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C. Alimentación/día</w:t>
            </w:r>
          </w:p>
        </w:tc>
        <w:tc>
          <w:tcPr>
            <w:tcW w:w="850" w:type="dxa"/>
            <w:shd w:val="clear" w:color="auto" w:fill="auto"/>
            <w:noWrap/>
            <w:vAlign w:val="center"/>
            <w:hideMark/>
          </w:tcPr>
          <w:p w14:paraId="2F0B343C" w14:textId="77777777" w:rsidR="00C2032A" w:rsidRPr="00A73608" w:rsidRDefault="00C2032A" w:rsidP="00C2032A">
            <w:pPr>
              <w:spacing w:after="0" w:line="240" w:lineRule="auto"/>
              <w:contextualSpacing/>
              <w:jc w:val="center"/>
              <w:rPr>
                <w:rFonts w:asciiTheme="majorHAnsi" w:eastAsia="Times New Roman" w:hAnsiTheme="majorHAnsi" w:cs="Times New Roman"/>
                <w:sz w:val="16"/>
                <w:szCs w:val="16"/>
                <w:lang w:eastAsia="es-CO"/>
              </w:rPr>
            </w:pPr>
            <w:r w:rsidRPr="00A73608">
              <w:rPr>
                <w:rFonts w:asciiTheme="majorHAnsi" w:eastAsia="Times New Roman" w:hAnsiTheme="majorHAnsi" w:cs="Times New Roman"/>
                <w:sz w:val="16"/>
                <w:szCs w:val="16"/>
                <w:lang w:eastAsia="es-CO"/>
              </w:rPr>
              <w:t>4</w:t>
            </w:r>
          </w:p>
        </w:tc>
        <w:tc>
          <w:tcPr>
            <w:tcW w:w="1276" w:type="dxa"/>
            <w:shd w:val="clear" w:color="auto" w:fill="auto"/>
            <w:noWrap/>
            <w:vAlign w:val="center"/>
            <w:hideMark/>
          </w:tcPr>
          <w:p w14:paraId="5BDFBB2F" w14:textId="77777777" w:rsidR="00C2032A" w:rsidRPr="00A73608" w:rsidRDefault="00C2032A" w:rsidP="000A0B21">
            <w:pPr>
              <w:spacing w:after="0" w:line="240" w:lineRule="auto"/>
              <w:contextualSpacing/>
              <w:jc w:val="center"/>
              <w:rPr>
                <w:rFonts w:asciiTheme="majorHAnsi" w:eastAsia="Times New Roman" w:hAnsiTheme="majorHAnsi" w:cs="Times New Roman"/>
                <w:sz w:val="16"/>
                <w:szCs w:val="16"/>
                <w:lang w:eastAsia="es-CO"/>
              </w:rPr>
            </w:pPr>
            <w:r w:rsidRPr="00A73608">
              <w:rPr>
                <w:rFonts w:asciiTheme="majorHAnsi" w:eastAsia="Times New Roman" w:hAnsiTheme="majorHAnsi" w:cs="Times New Roman"/>
                <w:sz w:val="16"/>
                <w:szCs w:val="16"/>
                <w:lang w:eastAsia="es-CO"/>
              </w:rPr>
              <w:t>comida</w:t>
            </w:r>
          </w:p>
        </w:tc>
        <w:tc>
          <w:tcPr>
            <w:tcW w:w="1176" w:type="dxa"/>
            <w:shd w:val="clear" w:color="auto" w:fill="auto"/>
            <w:noWrap/>
            <w:vAlign w:val="center"/>
            <w:hideMark/>
          </w:tcPr>
          <w:p w14:paraId="311CEEAA" w14:textId="5953F438" w:rsidR="00C2032A" w:rsidRPr="00A73608" w:rsidRDefault="00C2032A" w:rsidP="00C2032A">
            <w:pPr>
              <w:spacing w:after="0" w:line="240" w:lineRule="auto"/>
              <w:contextualSpacing/>
              <w:jc w:val="right"/>
              <w:rPr>
                <w:rFonts w:asciiTheme="majorHAnsi" w:eastAsia="Times New Roman" w:hAnsiTheme="majorHAnsi" w:cs="Times New Roman"/>
                <w:sz w:val="16"/>
                <w:szCs w:val="16"/>
                <w:lang w:eastAsia="es-CO"/>
              </w:rPr>
            </w:pPr>
            <w:r w:rsidRPr="00A73608">
              <w:rPr>
                <w:rFonts w:asciiTheme="majorHAnsi" w:eastAsia="Times New Roman" w:hAnsiTheme="majorHAnsi" w:cs="Times New Roman"/>
                <w:sz w:val="16"/>
                <w:szCs w:val="16"/>
                <w:lang w:eastAsia="es-CO"/>
              </w:rPr>
              <w:t xml:space="preserve"> $    7.500 </w:t>
            </w:r>
          </w:p>
        </w:tc>
        <w:tc>
          <w:tcPr>
            <w:tcW w:w="1278" w:type="dxa"/>
            <w:shd w:val="clear" w:color="auto" w:fill="auto"/>
            <w:noWrap/>
            <w:vAlign w:val="center"/>
            <w:hideMark/>
          </w:tcPr>
          <w:p w14:paraId="3DFCBB83" w14:textId="2B4CC435"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30.000 </w:t>
            </w:r>
          </w:p>
        </w:tc>
      </w:tr>
      <w:tr w:rsidR="00C2032A" w:rsidRPr="00A73608" w14:paraId="706333DB" w14:textId="77777777" w:rsidTr="000A0B21">
        <w:trPr>
          <w:trHeight w:val="20"/>
        </w:trPr>
        <w:tc>
          <w:tcPr>
            <w:tcW w:w="1146" w:type="dxa"/>
            <w:vMerge/>
            <w:vAlign w:val="center"/>
            <w:hideMark/>
          </w:tcPr>
          <w:p w14:paraId="0C960790"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72ACCD77"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D. Materiales y papelería / 2 visita a UF</w:t>
            </w:r>
          </w:p>
        </w:tc>
        <w:tc>
          <w:tcPr>
            <w:tcW w:w="850" w:type="dxa"/>
            <w:shd w:val="clear" w:color="auto" w:fill="auto"/>
            <w:noWrap/>
            <w:vAlign w:val="center"/>
            <w:hideMark/>
          </w:tcPr>
          <w:p w14:paraId="6A534A3C"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2</w:t>
            </w:r>
          </w:p>
        </w:tc>
        <w:tc>
          <w:tcPr>
            <w:tcW w:w="1276" w:type="dxa"/>
            <w:shd w:val="clear" w:color="auto" w:fill="auto"/>
            <w:noWrap/>
            <w:vAlign w:val="center"/>
            <w:hideMark/>
          </w:tcPr>
          <w:p w14:paraId="1853D151"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global</w:t>
            </w:r>
          </w:p>
        </w:tc>
        <w:tc>
          <w:tcPr>
            <w:tcW w:w="1176" w:type="dxa"/>
            <w:shd w:val="clear" w:color="auto" w:fill="auto"/>
            <w:noWrap/>
            <w:vAlign w:val="center"/>
            <w:hideMark/>
          </w:tcPr>
          <w:p w14:paraId="6291CB05" w14:textId="018152D9" w:rsidR="00C2032A" w:rsidRPr="00A73608" w:rsidRDefault="00C2032A" w:rsidP="00C2032A">
            <w:pPr>
              <w:spacing w:after="0" w:line="240" w:lineRule="auto"/>
              <w:contextualSpacing/>
              <w:jc w:val="right"/>
              <w:rPr>
                <w:rFonts w:asciiTheme="majorHAnsi" w:eastAsia="Times New Roman" w:hAnsiTheme="majorHAnsi" w:cs="Times New Roman"/>
                <w:sz w:val="16"/>
                <w:szCs w:val="16"/>
                <w:lang w:eastAsia="es-CO"/>
              </w:rPr>
            </w:pPr>
            <w:r w:rsidRPr="00A73608">
              <w:rPr>
                <w:rFonts w:asciiTheme="majorHAnsi" w:eastAsia="Times New Roman" w:hAnsiTheme="majorHAnsi" w:cs="Times New Roman"/>
                <w:sz w:val="16"/>
                <w:szCs w:val="16"/>
                <w:lang w:eastAsia="es-CO"/>
              </w:rPr>
              <w:t xml:space="preserve"> $    3.000 </w:t>
            </w:r>
          </w:p>
        </w:tc>
        <w:tc>
          <w:tcPr>
            <w:tcW w:w="1278" w:type="dxa"/>
            <w:shd w:val="clear" w:color="auto" w:fill="auto"/>
            <w:noWrap/>
            <w:vAlign w:val="center"/>
            <w:hideMark/>
          </w:tcPr>
          <w:p w14:paraId="0E265A4F" w14:textId="6C13D76B"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6.000 </w:t>
            </w:r>
          </w:p>
        </w:tc>
      </w:tr>
      <w:tr w:rsidR="00C2032A" w:rsidRPr="00A73608" w14:paraId="39C0488A" w14:textId="77777777" w:rsidTr="000A0B21">
        <w:trPr>
          <w:trHeight w:val="20"/>
        </w:trPr>
        <w:tc>
          <w:tcPr>
            <w:tcW w:w="1146" w:type="dxa"/>
            <w:vMerge/>
            <w:vAlign w:val="center"/>
            <w:hideMark/>
          </w:tcPr>
          <w:p w14:paraId="28C94A60"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4D371B6B"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E. Total costo de visitas a 2 UAF/día (A+B+C+D)</w:t>
            </w:r>
          </w:p>
        </w:tc>
        <w:tc>
          <w:tcPr>
            <w:tcW w:w="850" w:type="dxa"/>
            <w:shd w:val="clear" w:color="auto" w:fill="auto"/>
            <w:noWrap/>
            <w:vAlign w:val="center"/>
            <w:hideMark/>
          </w:tcPr>
          <w:p w14:paraId="5623A9D7"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6" w:type="dxa"/>
            <w:shd w:val="clear" w:color="auto" w:fill="auto"/>
            <w:noWrap/>
            <w:vAlign w:val="center"/>
            <w:hideMark/>
          </w:tcPr>
          <w:p w14:paraId="3137925F" w14:textId="29DFB398"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p>
        </w:tc>
        <w:tc>
          <w:tcPr>
            <w:tcW w:w="1176" w:type="dxa"/>
            <w:shd w:val="clear" w:color="auto" w:fill="auto"/>
            <w:noWrap/>
            <w:vAlign w:val="center"/>
            <w:hideMark/>
          </w:tcPr>
          <w:p w14:paraId="3BF70441" w14:textId="77777777"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8" w:type="dxa"/>
            <w:shd w:val="clear" w:color="auto" w:fill="auto"/>
            <w:noWrap/>
            <w:vAlign w:val="center"/>
            <w:hideMark/>
          </w:tcPr>
          <w:p w14:paraId="0E6AFEDE" w14:textId="503C2040" w:rsidR="00C2032A" w:rsidRPr="00A73608" w:rsidRDefault="00C2032A" w:rsidP="00C2032A">
            <w:pPr>
              <w:spacing w:after="0" w:line="240" w:lineRule="auto"/>
              <w:contextualSpacing/>
              <w:jc w:val="right"/>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 xml:space="preserve"> $  156.000 </w:t>
            </w:r>
          </w:p>
        </w:tc>
      </w:tr>
      <w:tr w:rsidR="00C2032A" w:rsidRPr="00A73608" w14:paraId="5EB05A8B" w14:textId="77777777" w:rsidTr="000A0B21">
        <w:trPr>
          <w:trHeight w:val="20"/>
        </w:trPr>
        <w:tc>
          <w:tcPr>
            <w:tcW w:w="1146" w:type="dxa"/>
            <w:vMerge/>
            <w:vAlign w:val="center"/>
            <w:hideMark/>
          </w:tcPr>
          <w:p w14:paraId="20ABB153"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75BE72CC"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F. Total costo / visita a UF (E/2)</w:t>
            </w:r>
          </w:p>
        </w:tc>
        <w:tc>
          <w:tcPr>
            <w:tcW w:w="850" w:type="dxa"/>
            <w:shd w:val="clear" w:color="auto" w:fill="auto"/>
            <w:noWrap/>
            <w:vAlign w:val="center"/>
            <w:hideMark/>
          </w:tcPr>
          <w:p w14:paraId="2646FE69"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6" w:type="dxa"/>
            <w:shd w:val="clear" w:color="auto" w:fill="auto"/>
            <w:noWrap/>
            <w:vAlign w:val="center"/>
            <w:hideMark/>
          </w:tcPr>
          <w:p w14:paraId="0C9AD731" w14:textId="05F999D3"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p>
        </w:tc>
        <w:tc>
          <w:tcPr>
            <w:tcW w:w="1176" w:type="dxa"/>
            <w:shd w:val="clear" w:color="auto" w:fill="auto"/>
            <w:noWrap/>
            <w:vAlign w:val="center"/>
            <w:hideMark/>
          </w:tcPr>
          <w:p w14:paraId="2B3E2C7F" w14:textId="77777777"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8" w:type="dxa"/>
            <w:shd w:val="clear" w:color="auto" w:fill="auto"/>
            <w:noWrap/>
            <w:vAlign w:val="center"/>
            <w:hideMark/>
          </w:tcPr>
          <w:p w14:paraId="0B3DD8BC" w14:textId="0CD4CE5F" w:rsidR="00C2032A" w:rsidRPr="00A73608" w:rsidRDefault="00C2032A" w:rsidP="00C2032A">
            <w:pPr>
              <w:spacing w:after="0" w:line="240" w:lineRule="auto"/>
              <w:contextualSpacing/>
              <w:jc w:val="right"/>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 xml:space="preserve"> $            78.000 </w:t>
            </w:r>
          </w:p>
        </w:tc>
      </w:tr>
      <w:tr w:rsidR="00C2032A" w:rsidRPr="00A73608" w14:paraId="7BC178F3" w14:textId="77777777" w:rsidTr="000A0B21">
        <w:trPr>
          <w:trHeight w:val="20"/>
        </w:trPr>
        <w:tc>
          <w:tcPr>
            <w:tcW w:w="1146" w:type="dxa"/>
            <w:vMerge w:val="restart"/>
            <w:shd w:val="clear" w:color="auto" w:fill="auto"/>
            <w:vAlign w:val="center"/>
            <w:hideMark/>
          </w:tcPr>
          <w:p w14:paraId="2E8E73D1"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Grupales </w:t>
            </w:r>
            <w:r w:rsidRPr="00A73608">
              <w:rPr>
                <w:rFonts w:asciiTheme="majorHAnsi" w:eastAsia="Times New Roman" w:hAnsiTheme="majorHAnsi" w:cs="Times New Roman"/>
                <w:color w:val="000000"/>
                <w:sz w:val="16"/>
                <w:szCs w:val="16"/>
                <w:lang w:eastAsia="es-CO"/>
              </w:rPr>
              <w:br/>
            </w:r>
            <w:r w:rsidRPr="00A73608">
              <w:rPr>
                <w:rFonts w:asciiTheme="majorHAnsi" w:eastAsia="Times New Roman" w:hAnsiTheme="majorHAnsi" w:cs="Times New Roman"/>
                <w:color w:val="000000"/>
                <w:sz w:val="16"/>
                <w:szCs w:val="16"/>
                <w:lang w:eastAsia="es-CO"/>
              </w:rPr>
              <w:br/>
              <w:t>(Taller, Demostración, Día de campo, Conversatorio, Práctica, etc.)</w:t>
            </w:r>
            <w:r w:rsidRPr="00A73608">
              <w:rPr>
                <w:rFonts w:asciiTheme="majorHAnsi" w:eastAsia="Times New Roman" w:hAnsiTheme="majorHAnsi" w:cs="Times New Roman"/>
                <w:color w:val="000000"/>
                <w:sz w:val="16"/>
                <w:szCs w:val="16"/>
                <w:lang w:eastAsia="es-CO"/>
              </w:rPr>
              <w:br/>
            </w:r>
            <w:r w:rsidRPr="00A73608">
              <w:rPr>
                <w:rFonts w:asciiTheme="majorHAnsi" w:eastAsia="Times New Roman" w:hAnsiTheme="majorHAnsi" w:cs="Times New Roman"/>
                <w:color w:val="000000"/>
                <w:sz w:val="16"/>
                <w:szCs w:val="16"/>
                <w:lang w:eastAsia="es-CO"/>
              </w:rPr>
              <w:br/>
              <w:t>(20-25 personas)</w:t>
            </w:r>
          </w:p>
        </w:tc>
        <w:tc>
          <w:tcPr>
            <w:tcW w:w="3102" w:type="dxa"/>
            <w:shd w:val="clear" w:color="auto" w:fill="auto"/>
            <w:noWrap/>
            <w:vAlign w:val="center"/>
            <w:hideMark/>
          </w:tcPr>
          <w:p w14:paraId="29FDF34A"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A. Salario promedio del extensionista / medio día</w:t>
            </w:r>
          </w:p>
        </w:tc>
        <w:tc>
          <w:tcPr>
            <w:tcW w:w="850" w:type="dxa"/>
            <w:shd w:val="clear" w:color="auto" w:fill="auto"/>
            <w:noWrap/>
            <w:vAlign w:val="center"/>
            <w:hideMark/>
          </w:tcPr>
          <w:p w14:paraId="0E6B39F9"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0,5</w:t>
            </w:r>
          </w:p>
        </w:tc>
        <w:tc>
          <w:tcPr>
            <w:tcW w:w="1276" w:type="dxa"/>
            <w:shd w:val="clear" w:color="auto" w:fill="auto"/>
            <w:noWrap/>
            <w:vAlign w:val="center"/>
            <w:hideMark/>
          </w:tcPr>
          <w:p w14:paraId="429BC200"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visitas a UF</w:t>
            </w:r>
          </w:p>
        </w:tc>
        <w:tc>
          <w:tcPr>
            <w:tcW w:w="1176" w:type="dxa"/>
            <w:shd w:val="clear" w:color="auto" w:fill="auto"/>
            <w:noWrap/>
            <w:vAlign w:val="center"/>
            <w:hideMark/>
          </w:tcPr>
          <w:p w14:paraId="6C6E4AD8" w14:textId="3522F9D2"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200.000 </w:t>
            </w:r>
          </w:p>
        </w:tc>
        <w:tc>
          <w:tcPr>
            <w:tcW w:w="1278" w:type="dxa"/>
            <w:shd w:val="clear" w:color="auto" w:fill="auto"/>
            <w:noWrap/>
            <w:vAlign w:val="center"/>
            <w:hideMark/>
          </w:tcPr>
          <w:p w14:paraId="5E3A404B" w14:textId="46B9F7EC"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$ 100.000 </w:t>
            </w:r>
          </w:p>
        </w:tc>
      </w:tr>
      <w:tr w:rsidR="00C2032A" w:rsidRPr="00A73608" w14:paraId="426C68A9" w14:textId="77777777" w:rsidTr="000A0B21">
        <w:trPr>
          <w:trHeight w:val="20"/>
        </w:trPr>
        <w:tc>
          <w:tcPr>
            <w:tcW w:w="1146" w:type="dxa"/>
            <w:vMerge/>
            <w:vAlign w:val="center"/>
            <w:hideMark/>
          </w:tcPr>
          <w:p w14:paraId="4849FE35"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59AA21E0"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B. Transporte promedio</w:t>
            </w:r>
          </w:p>
        </w:tc>
        <w:tc>
          <w:tcPr>
            <w:tcW w:w="850" w:type="dxa"/>
            <w:shd w:val="clear" w:color="auto" w:fill="auto"/>
            <w:noWrap/>
            <w:vAlign w:val="center"/>
            <w:hideMark/>
          </w:tcPr>
          <w:p w14:paraId="6EE27A6B"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2</w:t>
            </w:r>
          </w:p>
        </w:tc>
        <w:tc>
          <w:tcPr>
            <w:tcW w:w="1276" w:type="dxa"/>
            <w:shd w:val="clear" w:color="auto" w:fill="auto"/>
            <w:noWrap/>
            <w:vAlign w:val="center"/>
            <w:hideMark/>
          </w:tcPr>
          <w:p w14:paraId="017F583B"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transportes</w:t>
            </w:r>
          </w:p>
        </w:tc>
        <w:tc>
          <w:tcPr>
            <w:tcW w:w="1176" w:type="dxa"/>
            <w:shd w:val="clear" w:color="auto" w:fill="auto"/>
            <w:noWrap/>
            <w:vAlign w:val="center"/>
            <w:hideMark/>
          </w:tcPr>
          <w:p w14:paraId="0D687E91" w14:textId="04CCFAB0"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5.000 </w:t>
            </w:r>
          </w:p>
        </w:tc>
        <w:tc>
          <w:tcPr>
            <w:tcW w:w="1278" w:type="dxa"/>
            <w:shd w:val="clear" w:color="auto" w:fill="auto"/>
            <w:noWrap/>
            <w:vAlign w:val="center"/>
            <w:hideMark/>
          </w:tcPr>
          <w:p w14:paraId="7CCC3DD1" w14:textId="6768E53C"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10.000 </w:t>
            </w:r>
          </w:p>
        </w:tc>
      </w:tr>
      <w:tr w:rsidR="00C2032A" w:rsidRPr="00A73608" w14:paraId="525F74BF" w14:textId="77777777" w:rsidTr="000A0B21">
        <w:trPr>
          <w:trHeight w:val="20"/>
        </w:trPr>
        <w:tc>
          <w:tcPr>
            <w:tcW w:w="1146" w:type="dxa"/>
            <w:vMerge/>
            <w:vAlign w:val="center"/>
            <w:hideMark/>
          </w:tcPr>
          <w:p w14:paraId="53F7E2A7"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67BEF08A"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C. Alimentación/día</w:t>
            </w:r>
          </w:p>
        </w:tc>
        <w:tc>
          <w:tcPr>
            <w:tcW w:w="850" w:type="dxa"/>
            <w:shd w:val="clear" w:color="auto" w:fill="auto"/>
            <w:noWrap/>
            <w:vAlign w:val="center"/>
            <w:hideMark/>
          </w:tcPr>
          <w:p w14:paraId="231ED01A"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2</w:t>
            </w:r>
          </w:p>
        </w:tc>
        <w:tc>
          <w:tcPr>
            <w:tcW w:w="1276" w:type="dxa"/>
            <w:shd w:val="clear" w:color="auto" w:fill="auto"/>
            <w:noWrap/>
            <w:vAlign w:val="center"/>
            <w:hideMark/>
          </w:tcPr>
          <w:p w14:paraId="7022337C"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comidas</w:t>
            </w:r>
          </w:p>
        </w:tc>
        <w:tc>
          <w:tcPr>
            <w:tcW w:w="1176" w:type="dxa"/>
            <w:shd w:val="clear" w:color="auto" w:fill="auto"/>
            <w:noWrap/>
            <w:vAlign w:val="center"/>
            <w:hideMark/>
          </w:tcPr>
          <w:p w14:paraId="6B1E052B" w14:textId="605A0662"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7.500 </w:t>
            </w:r>
          </w:p>
        </w:tc>
        <w:tc>
          <w:tcPr>
            <w:tcW w:w="1278" w:type="dxa"/>
            <w:shd w:val="clear" w:color="auto" w:fill="auto"/>
            <w:noWrap/>
            <w:vAlign w:val="center"/>
            <w:hideMark/>
          </w:tcPr>
          <w:p w14:paraId="79B93CD3" w14:textId="3E2F1A18"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15.000 </w:t>
            </w:r>
          </w:p>
        </w:tc>
      </w:tr>
      <w:tr w:rsidR="00C2032A" w:rsidRPr="00A73608" w14:paraId="3D678761" w14:textId="77777777" w:rsidTr="000A0B21">
        <w:trPr>
          <w:trHeight w:val="20"/>
        </w:trPr>
        <w:tc>
          <w:tcPr>
            <w:tcW w:w="1146" w:type="dxa"/>
            <w:vMerge/>
            <w:vAlign w:val="center"/>
            <w:hideMark/>
          </w:tcPr>
          <w:p w14:paraId="330E943C"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51599B43"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D. Materiales y papelería / actividad</w:t>
            </w:r>
          </w:p>
        </w:tc>
        <w:tc>
          <w:tcPr>
            <w:tcW w:w="850" w:type="dxa"/>
            <w:shd w:val="clear" w:color="auto" w:fill="auto"/>
            <w:noWrap/>
            <w:vAlign w:val="center"/>
            <w:hideMark/>
          </w:tcPr>
          <w:p w14:paraId="75A62E88"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w:t>
            </w:r>
          </w:p>
        </w:tc>
        <w:tc>
          <w:tcPr>
            <w:tcW w:w="1276" w:type="dxa"/>
            <w:shd w:val="clear" w:color="auto" w:fill="auto"/>
            <w:noWrap/>
            <w:vAlign w:val="center"/>
            <w:hideMark/>
          </w:tcPr>
          <w:p w14:paraId="03540568"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global</w:t>
            </w:r>
          </w:p>
        </w:tc>
        <w:tc>
          <w:tcPr>
            <w:tcW w:w="1176" w:type="dxa"/>
            <w:shd w:val="clear" w:color="auto" w:fill="auto"/>
            <w:noWrap/>
            <w:vAlign w:val="center"/>
            <w:hideMark/>
          </w:tcPr>
          <w:p w14:paraId="49600CC5" w14:textId="78B3BBC9"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25.000 </w:t>
            </w:r>
          </w:p>
        </w:tc>
        <w:tc>
          <w:tcPr>
            <w:tcW w:w="1278" w:type="dxa"/>
            <w:shd w:val="clear" w:color="auto" w:fill="auto"/>
            <w:noWrap/>
            <w:vAlign w:val="center"/>
            <w:hideMark/>
          </w:tcPr>
          <w:p w14:paraId="04D6BEEF" w14:textId="3008E8C1"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25.000 </w:t>
            </w:r>
          </w:p>
        </w:tc>
      </w:tr>
      <w:tr w:rsidR="00C2032A" w:rsidRPr="00A73608" w14:paraId="6338F0B8" w14:textId="77777777" w:rsidTr="000A0B21">
        <w:trPr>
          <w:trHeight w:val="20"/>
        </w:trPr>
        <w:tc>
          <w:tcPr>
            <w:tcW w:w="1146" w:type="dxa"/>
            <w:vMerge/>
            <w:vAlign w:val="center"/>
            <w:hideMark/>
          </w:tcPr>
          <w:p w14:paraId="47C162B0"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60F3DA98"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E. Refrigerios (20 productores + 5 imprevistos)</w:t>
            </w:r>
          </w:p>
        </w:tc>
        <w:tc>
          <w:tcPr>
            <w:tcW w:w="850" w:type="dxa"/>
            <w:shd w:val="clear" w:color="auto" w:fill="auto"/>
            <w:noWrap/>
            <w:vAlign w:val="center"/>
            <w:hideMark/>
          </w:tcPr>
          <w:p w14:paraId="0615DF33"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25</w:t>
            </w:r>
          </w:p>
        </w:tc>
        <w:tc>
          <w:tcPr>
            <w:tcW w:w="1276" w:type="dxa"/>
            <w:shd w:val="clear" w:color="auto" w:fill="auto"/>
            <w:noWrap/>
            <w:vAlign w:val="center"/>
            <w:hideMark/>
          </w:tcPr>
          <w:p w14:paraId="1020632C"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unidades</w:t>
            </w:r>
          </w:p>
        </w:tc>
        <w:tc>
          <w:tcPr>
            <w:tcW w:w="1176" w:type="dxa"/>
            <w:shd w:val="clear" w:color="auto" w:fill="auto"/>
            <w:noWrap/>
            <w:vAlign w:val="center"/>
            <w:hideMark/>
          </w:tcPr>
          <w:p w14:paraId="458958F0" w14:textId="2237F439"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5.000 </w:t>
            </w:r>
          </w:p>
        </w:tc>
        <w:tc>
          <w:tcPr>
            <w:tcW w:w="1278" w:type="dxa"/>
            <w:shd w:val="clear" w:color="auto" w:fill="auto"/>
            <w:noWrap/>
            <w:vAlign w:val="center"/>
            <w:hideMark/>
          </w:tcPr>
          <w:p w14:paraId="4125D3BE" w14:textId="60D60C61"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125.000 </w:t>
            </w:r>
          </w:p>
        </w:tc>
      </w:tr>
      <w:tr w:rsidR="00C2032A" w:rsidRPr="00A73608" w14:paraId="27581753" w14:textId="77777777" w:rsidTr="000A0B21">
        <w:trPr>
          <w:trHeight w:val="20"/>
        </w:trPr>
        <w:tc>
          <w:tcPr>
            <w:tcW w:w="1146" w:type="dxa"/>
            <w:vMerge/>
            <w:vAlign w:val="center"/>
            <w:hideMark/>
          </w:tcPr>
          <w:p w14:paraId="1A77B4BD"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7D5D6DBB"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F. Giras técnicas /año/20 personas (transporte, almuerzos, refrigerio y materiales)</w:t>
            </w:r>
          </w:p>
        </w:tc>
        <w:tc>
          <w:tcPr>
            <w:tcW w:w="850" w:type="dxa"/>
            <w:shd w:val="clear" w:color="auto" w:fill="auto"/>
            <w:noWrap/>
            <w:vAlign w:val="center"/>
            <w:hideMark/>
          </w:tcPr>
          <w:p w14:paraId="04478C2F"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2</w:t>
            </w:r>
          </w:p>
        </w:tc>
        <w:tc>
          <w:tcPr>
            <w:tcW w:w="1276" w:type="dxa"/>
            <w:shd w:val="clear" w:color="auto" w:fill="auto"/>
            <w:noWrap/>
            <w:vAlign w:val="center"/>
            <w:hideMark/>
          </w:tcPr>
          <w:p w14:paraId="47D99441"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giras</w:t>
            </w:r>
          </w:p>
        </w:tc>
        <w:tc>
          <w:tcPr>
            <w:tcW w:w="1176" w:type="dxa"/>
            <w:shd w:val="clear" w:color="auto" w:fill="auto"/>
            <w:noWrap/>
            <w:vAlign w:val="center"/>
            <w:hideMark/>
          </w:tcPr>
          <w:p w14:paraId="01196FC3" w14:textId="57A0FF41"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3.000.000 </w:t>
            </w:r>
          </w:p>
        </w:tc>
        <w:tc>
          <w:tcPr>
            <w:tcW w:w="1278" w:type="dxa"/>
            <w:shd w:val="clear" w:color="auto" w:fill="auto"/>
            <w:noWrap/>
            <w:vAlign w:val="center"/>
            <w:hideMark/>
          </w:tcPr>
          <w:p w14:paraId="47E13FC4" w14:textId="19561D3C"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6.000.000 </w:t>
            </w:r>
          </w:p>
        </w:tc>
      </w:tr>
      <w:tr w:rsidR="00C2032A" w:rsidRPr="00A73608" w14:paraId="2A7E0028" w14:textId="77777777" w:rsidTr="000A0B21">
        <w:trPr>
          <w:trHeight w:val="20"/>
        </w:trPr>
        <w:tc>
          <w:tcPr>
            <w:tcW w:w="1146" w:type="dxa"/>
            <w:vMerge/>
            <w:vAlign w:val="center"/>
            <w:hideMark/>
          </w:tcPr>
          <w:p w14:paraId="79839747"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484F6D9D"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F. Total costo / actividad de 2 horas (A+B+C+D+E)</w:t>
            </w:r>
          </w:p>
        </w:tc>
        <w:tc>
          <w:tcPr>
            <w:tcW w:w="850" w:type="dxa"/>
            <w:shd w:val="clear" w:color="auto" w:fill="auto"/>
            <w:noWrap/>
            <w:vAlign w:val="center"/>
            <w:hideMark/>
          </w:tcPr>
          <w:p w14:paraId="2A2CEC64"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6" w:type="dxa"/>
            <w:shd w:val="clear" w:color="auto" w:fill="auto"/>
            <w:noWrap/>
            <w:vAlign w:val="center"/>
            <w:hideMark/>
          </w:tcPr>
          <w:p w14:paraId="18756F54" w14:textId="538EF1B1"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p>
        </w:tc>
        <w:tc>
          <w:tcPr>
            <w:tcW w:w="1176" w:type="dxa"/>
            <w:shd w:val="clear" w:color="auto" w:fill="auto"/>
            <w:noWrap/>
            <w:vAlign w:val="center"/>
            <w:hideMark/>
          </w:tcPr>
          <w:p w14:paraId="6C3CA96D" w14:textId="77777777"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8" w:type="dxa"/>
            <w:shd w:val="clear" w:color="auto" w:fill="auto"/>
            <w:noWrap/>
            <w:vAlign w:val="center"/>
            <w:hideMark/>
          </w:tcPr>
          <w:p w14:paraId="6E3CB87A" w14:textId="0EA5BE08" w:rsidR="00C2032A" w:rsidRPr="00A73608" w:rsidRDefault="00C2032A" w:rsidP="00C2032A">
            <w:pPr>
              <w:spacing w:after="0" w:line="240" w:lineRule="auto"/>
              <w:contextualSpacing/>
              <w:jc w:val="right"/>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 xml:space="preserve"> $  275.000 </w:t>
            </w:r>
          </w:p>
        </w:tc>
      </w:tr>
      <w:tr w:rsidR="00C2032A" w:rsidRPr="00A73608" w14:paraId="4BF323C5" w14:textId="77777777" w:rsidTr="000A0B21">
        <w:trPr>
          <w:trHeight w:val="20"/>
        </w:trPr>
        <w:tc>
          <w:tcPr>
            <w:tcW w:w="1146" w:type="dxa"/>
            <w:vMerge/>
            <w:vAlign w:val="center"/>
            <w:hideMark/>
          </w:tcPr>
          <w:p w14:paraId="3ED8BE4C"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1C093331"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G. Total costo actividad / productor (F/20 productores)</w:t>
            </w:r>
          </w:p>
        </w:tc>
        <w:tc>
          <w:tcPr>
            <w:tcW w:w="850" w:type="dxa"/>
            <w:shd w:val="clear" w:color="auto" w:fill="auto"/>
            <w:noWrap/>
            <w:vAlign w:val="center"/>
            <w:hideMark/>
          </w:tcPr>
          <w:p w14:paraId="27FDA084"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p>
        </w:tc>
        <w:tc>
          <w:tcPr>
            <w:tcW w:w="1276" w:type="dxa"/>
            <w:shd w:val="clear" w:color="auto" w:fill="auto"/>
            <w:noWrap/>
            <w:vAlign w:val="center"/>
            <w:hideMark/>
          </w:tcPr>
          <w:p w14:paraId="4803A6E5" w14:textId="77777777" w:rsidR="00C2032A" w:rsidRPr="00A73608" w:rsidRDefault="00C2032A" w:rsidP="000A0B21">
            <w:pPr>
              <w:spacing w:after="0" w:line="240" w:lineRule="auto"/>
              <w:contextualSpacing/>
              <w:jc w:val="center"/>
              <w:rPr>
                <w:rFonts w:asciiTheme="majorHAnsi" w:eastAsia="Times New Roman" w:hAnsiTheme="majorHAnsi" w:cs="Times New Roman"/>
                <w:sz w:val="16"/>
                <w:szCs w:val="16"/>
                <w:lang w:eastAsia="es-CO"/>
              </w:rPr>
            </w:pPr>
          </w:p>
        </w:tc>
        <w:tc>
          <w:tcPr>
            <w:tcW w:w="1176" w:type="dxa"/>
            <w:shd w:val="clear" w:color="auto" w:fill="auto"/>
            <w:noWrap/>
            <w:vAlign w:val="center"/>
            <w:hideMark/>
          </w:tcPr>
          <w:p w14:paraId="4F2668D8" w14:textId="77777777" w:rsidR="00C2032A" w:rsidRPr="00A73608" w:rsidRDefault="00C2032A" w:rsidP="00C2032A">
            <w:pPr>
              <w:spacing w:after="0" w:line="240" w:lineRule="auto"/>
              <w:contextualSpacing/>
              <w:jc w:val="right"/>
              <w:rPr>
                <w:rFonts w:asciiTheme="majorHAnsi" w:eastAsia="Times New Roman" w:hAnsiTheme="majorHAnsi" w:cs="Times New Roman"/>
                <w:sz w:val="16"/>
                <w:szCs w:val="16"/>
                <w:lang w:eastAsia="es-CO"/>
              </w:rPr>
            </w:pPr>
          </w:p>
        </w:tc>
        <w:tc>
          <w:tcPr>
            <w:tcW w:w="1278" w:type="dxa"/>
            <w:shd w:val="clear" w:color="auto" w:fill="auto"/>
            <w:noWrap/>
            <w:vAlign w:val="center"/>
            <w:hideMark/>
          </w:tcPr>
          <w:p w14:paraId="0F911584" w14:textId="0777F5C0" w:rsidR="00C2032A" w:rsidRPr="00A73608" w:rsidRDefault="00C2032A" w:rsidP="00C2032A">
            <w:pPr>
              <w:spacing w:after="0" w:line="240" w:lineRule="auto"/>
              <w:contextualSpacing/>
              <w:jc w:val="right"/>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 xml:space="preserve"> $13.750 </w:t>
            </w:r>
          </w:p>
        </w:tc>
      </w:tr>
      <w:tr w:rsidR="00C2032A" w:rsidRPr="00A73608" w14:paraId="2BA7A6E5" w14:textId="77777777" w:rsidTr="000A0B21">
        <w:trPr>
          <w:trHeight w:val="20"/>
        </w:trPr>
        <w:tc>
          <w:tcPr>
            <w:tcW w:w="1146" w:type="dxa"/>
            <w:vMerge w:val="restart"/>
            <w:shd w:val="clear" w:color="auto" w:fill="auto"/>
            <w:vAlign w:val="center"/>
            <w:hideMark/>
          </w:tcPr>
          <w:p w14:paraId="49B02CF5"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Masivos (comunidades, más de 1000/vez)</w:t>
            </w:r>
          </w:p>
        </w:tc>
        <w:tc>
          <w:tcPr>
            <w:tcW w:w="3102" w:type="dxa"/>
            <w:shd w:val="clear" w:color="auto" w:fill="auto"/>
            <w:noWrap/>
            <w:vAlign w:val="center"/>
            <w:hideMark/>
          </w:tcPr>
          <w:p w14:paraId="06B99E88"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A. Programa de Radio (1-2 horas/semana)</w:t>
            </w:r>
          </w:p>
        </w:tc>
        <w:tc>
          <w:tcPr>
            <w:tcW w:w="850" w:type="dxa"/>
            <w:shd w:val="clear" w:color="auto" w:fill="auto"/>
            <w:noWrap/>
            <w:vAlign w:val="center"/>
            <w:hideMark/>
          </w:tcPr>
          <w:p w14:paraId="1A036D9F"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6" w:type="dxa"/>
            <w:shd w:val="clear" w:color="auto" w:fill="auto"/>
            <w:noWrap/>
            <w:vAlign w:val="center"/>
            <w:hideMark/>
          </w:tcPr>
          <w:p w14:paraId="109138AB" w14:textId="2DDAFC6D"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p>
        </w:tc>
        <w:tc>
          <w:tcPr>
            <w:tcW w:w="1176" w:type="dxa"/>
            <w:shd w:val="clear" w:color="auto" w:fill="auto"/>
            <w:noWrap/>
            <w:vAlign w:val="center"/>
            <w:hideMark/>
          </w:tcPr>
          <w:p w14:paraId="2E37ABAC" w14:textId="77777777" w:rsidR="00C2032A" w:rsidRPr="00A73608" w:rsidRDefault="00C2032A" w:rsidP="00C2032A">
            <w:pPr>
              <w:spacing w:after="0" w:line="240" w:lineRule="auto"/>
              <w:contextualSpacing/>
              <w:jc w:val="right"/>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 </w:t>
            </w:r>
          </w:p>
        </w:tc>
        <w:tc>
          <w:tcPr>
            <w:tcW w:w="1278" w:type="dxa"/>
            <w:shd w:val="clear" w:color="auto" w:fill="auto"/>
            <w:noWrap/>
            <w:vAlign w:val="center"/>
            <w:hideMark/>
          </w:tcPr>
          <w:p w14:paraId="28C1BE20" w14:textId="1A5AB51C" w:rsidR="00C2032A" w:rsidRPr="00A73608" w:rsidRDefault="00C2032A" w:rsidP="00C2032A">
            <w:pPr>
              <w:spacing w:after="0" w:line="240" w:lineRule="auto"/>
              <w:contextualSpacing/>
              <w:jc w:val="right"/>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 xml:space="preserve"> $ 105.000 </w:t>
            </w:r>
          </w:p>
        </w:tc>
      </w:tr>
      <w:tr w:rsidR="00C2032A" w:rsidRPr="00A73608" w14:paraId="1461A2CF" w14:textId="77777777" w:rsidTr="000A0B21">
        <w:trPr>
          <w:trHeight w:val="20"/>
        </w:trPr>
        <w:tc>
          <w:tcPr>
            <w:tcW w:w="1146" w:type="dxa"/>
            <w:vMerge/>
            <w:vAlign w:val="center"/>
            <w:hideMark/>
          </w:tcPr>
          <w:p w14:paraId="59BA6DCA"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6012CCFA"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A. Programa de Radio (52 semanas)</w:t>
            </w:r>
          </w:p>
        </w:tc>
        <w:tc>
          <w:tcPr>
            <w:tcW w:w="850" w:type="dxa"/>
            <w:shd w:val="clear" w:color="auto" w:fill="auto"/>
            <w:noWrap/>
            <w:vAlign w:val="center"/>
            <w:hideMark/>
          </w:tcPr>
          <w:p w14:paraId="4C4E708E"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52</w:t>
            </w:r>
          </w:p>
        </w:tc>
        <w:tc>
          <w:tcPr>
            <w:tcW w:w="1276" w:type="dxa"/>
            <w:shd w:val="clear" w:color="auto" w:fill="auto"/>
            <w:noWrap/>
            <w:vAlign w:val="center"/>
            <w:hideMark/>
          </w:tcPr>
          <w:p w14:paraId="7840DA57"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programas</w:t>
            </w:r>
          </w:p>
        </w:tc>
        <w:tc>
          <w:tcPr>
            <w:tcW w:w="1176" w:type="dxa"/>
            <w:shd w:val="clear" w:color="auto" w:fill="auto"/>
            <w:noWrap/>
            <w:vAlign w:val="center"/>
            <w:hideMark/>
          </w:tcPr>
          <w:p w14:paraId="6B0524E1" w14:textId="353A92DC"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$105.000 </w:t>
            </w:r>
          </w:p>
        </w:tc>
        <w:tc>
          <w:tcPr>
            <w:tcW w:w="1278" w:type="dxa"/>
            <w:shd w:val="clear" w:color="auto" w:fill="auto"/>
            <w:noWrap/>
            <w:vAlign w:val="center"/>
            <w:hideMark/>
          </w:tcPr>
          <w:p w14:paraId="3F64AD85" w14:textId="24E2AB72" w:rsidR="00C2032A" w:rsidRPr="00A73608" w:rsidRDefault="00C2032A" w:rsidP="00C2032A">
            <w:pPr>
              <w:spacing w:after="0" w:line="240" w:lineRule="auto"/>
              <w:contextualSpacing/>
              <w:jc w:val="right"/>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 xml:space="preserve"> $  5.460.000 </w:t>
            </w:r>
          </w:p>
        </w:tc>
      </w:tr>
      <w:tr w:rsidR="00C2032A" w:rsidRPr="00A73608" w14:paraId="6B2F5CCC" w14:textId="77777777" w:rsidTr="000A0B21">
        <w:trPr>
          <w:trHeight w:val="20"/>
        </w:trPr>
        <w:tc>
          <w:tcPr>
            <w:tcW w:w="1146" w:type="dxa"/>
            <w:vMerge/>
            <w:vAlign w:val="center"/>
            <w:hideMark/>
          </w:tcPr>
          <w:p w14:paraId="00AF8A5D"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695BB6DF"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Extensionista</w:t>
            </w:r>
          </w:p>
        </w:tc>
        <w:tc>
          <w:tcPr>
            <w:tcW w:w="850" w:type="dxa"/>
            <w:shd w:val="clear" w:color="auto" w:fill="auto"/>
            <w:noWrap/>
            <w:vAlign w:val="center"/>
            <w:hideMark/>
          </w:tcPr>
          <w:p w14:paraId="7E8385D7"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2</w:t>
            </w:r>
          </w:p>
        </w:tc>
        <w:tc>
          <w:tcPr>
            <w:tcW w:w="1276" w:type="dxa"/>
            <w:shd w:val="clear" w:color="auto" w:fill="auto"/>
            <w:noWrap/>
            <w:vAlign w:val="center"/>
            <w:hideMark/>
          </w:tcPr>
          <w:p w14:paraId="16B285F0"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horas laborales</w:t>
            </w:r>
          </w:p>
        </w:tc>
        <w:tc>
          <w:tcPr>
            <w:tcW w:w="1176" w:type="dxa"/>
            <w:shd w:val="clear" w:color="auto" w:fill="auto"/>
            <w:noWrap/>
            <w:vAlign w:val="center"/>
            <w:hideMark/>
          </w:tcPr>
          <w:p w14:paraId="59C91357" w14:textId="2320E1D5"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$25.000 </w:t>
            </w:r>
          </w:p>
        </w:tc>
        <w:tc>
          <w:tcPr>
            <w:tcW w:w="1278" w:type="dxa"/>
            <w:shd w:val="clear" w:color="auto" w:fill="auto"/>
            <w:noWrap/>
            <w:vAlign w:val="center"/>
            <w:hideMark/>
          </w:tcPr>
          <w:p w14:paraId="11F7D191" w14:textId="26D7F7B4"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50.000 </w:t>
            </w:r>
          </w:p>
        </w:tc>
      </w:tr>
      <w:tr w:rsidR="00C2032A" w:rsidRPr="00A73608" w14:paraId="07CC8CFE" w14:textId="77777777" w:rsidTr="000A0B21">
        <w:trPr>
          <w:trHeight w:val="20"/>
        </w:trPr>
        <w:tc>
          <w:tcPr>
            <w:tcW w:w="1146" w:type="dxa"/>
            <w:vMerge/>
            <w:vAlign w:val="center"/>
            <w:hideMark/>
          </w:tcPr>
          <w:p w14:paraId="1307F5FF"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33750317"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Emisora local</w:t>
            </w:r>
          </w:p>
        </w:tc>
        <w:tc>
          <w:tcPr>
            <w:tcW w:w="850" w:type="dxa"/>
            <w:shd w:val="clear" w:color="auto" w:fill="auto"/>
            <w:noWrap/>
            <w:vAlign w:val="center"/>
            <w:hideMark/>
          </w:tcPr>
          <w:p w14:paraId="2B045FD3"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w:t>
            </w:r>
          </w:p>
        </w:tc>
        <w:tc>
          <w:tcPr>
            <w:tcW w:w="1276" w:type="dxa"/>
            <w:shd w:val="clear" w:color="auto" w:fill="auto"/>
            <w:noWrap/>
            <w:vAlign w:val="center"/>
            <w:hideMark/>
          </w:tcPr>
          <w:p w14:paraId="61DCECA7"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programa</w:t>
            </w:r>
          </w:p>
        </w:tc>
        <w:tc>
          <w:tcPr>
            <w:tcW w:w="1176" w:type="dxa"/>
            <w:shd w:val="clear" w:color="auto" w:fill="auto"/>
            <w:noWrap/>
            <w:vAlign w:val="center"/>
            <w:hideMark/>
          </w:tcPr>
          <w:p w14:paraId="736FBC0D" w14:textId="3F846F09"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$50.000 </w:t>
            </w:r>
          </w:p>
        </w:tc>
        <w:tc>
          <w:tcPr>
            <w:tcW w:w="1278" w:type="dxa"/>
            <w:shd w:val="clear" w:color="auto" w:fill="auto"/>
            <w:noWrap/>
            <w:vAlign w:val="center"/>
            <w:hideMark/>
          </w:tcPr>
          <w:p w14:paraId="208E2274" w14:textId="46466C36"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50.000 </w:t>
            </w:r>
          </w:p>
        </w:tc>
      </w:tr>
      <w:tr w:rsidR="00C2032A" w:rsidRPr="00A73608" w14:paraId="212DA0F8" w14:textId="77777777" w:rsidTr="000A0B21">
        <w:trPr>
          <w:trHeight w:val="20"/>
        </w:trPr>
        <w:tc>
          <w:tcPr>
            <w:tcW w:w="1146" w:type="dxa"/>
            <w:vMerge/>
            <w:vAlign w:val="center"/>
            <w:hideMark/>
          </w:tcPr>
          <w:p w14:paraId="4D499F60"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1C73FB12"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Materiales por programa</w:t>
            </w:r>
          </w:p>
        </w:tc>
        <w:tc>
          <w:tcPr>
            <w:tcW w:w="850" w:type="dxa"/>
            <w:shd w:val="clear" w:color="auto" w:fill="auto"/>
            <w:noWrap/>
            <w:vAlign w:val="center"/>
            <w:hideMark/>
          </w:tcPr>
          <w:p w14:paraId="2873A92C"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w:t>
            </w:r>
          </w:p>
        </w:tc>
        <w:tc>
          <w:tcPr>
            <w:tcW w:w="1276" w:type="dxa"/>
            <w:shd w:val="clear" w:color="auto" w:fill="auto"/>
            <w:noWrap/>
            <w:vAlign w:val="center"/>
            <w:hideMark/>
          </w:tcPr>
          <w:p w14:paraId="782DC955"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materiales</w:t>
            </w:r>
          </w:p>
        </w:tc>
        <w:tc>
          <w:tcPr>
            <w:tcW w:w="1176" w:type="dxa"/>
            <w:shd w:val="clear" w:color="auto" w:fill="auto"/>
            <w:noWrap/>
            <w:vAlign w:val="center"/>
            <w:hideMark/>
          </w:tcPr>
          <w:p w14:paraId="0F91C59B" w14:textId="56A4911F"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$5.000 </w:t>
            </w:r>
          </w:p>
        </w:tc>
        <w:tc>
          <w:tcPr>
            <w:tcW w:w="1278" w:type="dxa"/>
            <w:shd w:val="clear" w:color="auto" w:fill="auto"/>
            <w:noWrap/>
            <w:vAlign w:val="center"/>
            <w:hideMark/>
          </w:tcPr>
          <w:p w14:paraId="66568B5F" w14:textId="16B239D2"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5.000 </w:t>
            </w:r>
          </w:p>
        </w:tc>
      </w:tr>
      <w:tr w:rsidR="00C2032A" w:rsidRPr="00A73608" w14:paraId="308E3713" w14:textId="77777777" w:rsidTr="000A0B21">
        <w:trPr>
          <w:trHeight w:val="20"/>
        </w:trPr>
        <w:tc>
          <w:tcPr>
            <w:tcW w:w="1146" w:type="dxa"/>
            <w:vMerge/>
            <w:vAlign w:val="center"/>
            <w:hideMark/>
          </w:tcPr>
          <w:p w14:paraId="6E84FB52"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7EAA5F96"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B. Emisión de periódico (mensual)</w:t>
            </w:r>
          </w:p>
        </w:tc>
        <w:tc>
          <w:tcPr>
            <w:tcW w:w="850" w:type="dxa"/>
            <w:shd w:val="clear" w:color="auto" w:fill="auto"/>
            <w:noWrap/>
            <w:vAlign w:val="center"/>
            <w:hideMark/>
          </w:tcPr>
          <w:p w14:paraId="692205C9"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1000</w:t>
            </w:r>
          </w:p>
        </w:tc>
        <w:tc>
          <w:tcPr>
            <w:tcW w:w="1276" w:type="dxa"/>
            <w:shd w:val="clear" w:color="auto" w:fill="auto"/>
            <w:noWrap/>
            <w:vAlign w:val="center"/>
            <w:hideMark/>
          </w:tcPr>
          <w:p w14:paraId="5944D971"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unidades</w:t>
            </w:r>
          </w:p>
        </w:tc>
        <w:tc>
          <w:tcPr>
            <w:tcW w:w="1176" w:type="dxa"/>
            <w:shd w:val="clear" w:color="auto" w:fill="auto"/>
            <w:noWrap/>
            <w:vAlign w:val="center"/>
            <w:hideMark/>
          </w:tcPr>
          <w:p w14:paraId="4156B3B2" w14:textId="02603ED6"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$2.000 </w:t>
            </w:r>
          </w:p>
        </w:tc>
        <w:tc>
          <w:tcPr>
            <w:tcW w:w="1278" w:type="dxa"/>
            <w:shd w:val="clear" w:color="auto" w:fill="auto"/>
            <w:noWrap/>
            <w:vAlign w:val="center"/>
            <w:hideMark/>
          </w:tcPr>
          <w:p w14:paraId="36387FDE" w14:textId="7EE04E2C"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2.000.000 </w:t>
            </w:r>
          </w:p>
        </w:tc>
      </w:tr>
      <w:tr w:rsidR="00C2032A" w:rsidRPr="00A73608" w14:paraId="3DCE3B59" w14:textId="77777777" w:rsidTr="000A0B21">
        <w:trPr>
          <w:trHeight w:val="20"/>
        </w:trPr>
        <w:tc>
          <w:tcPr>
            <w:tcW w:w="1146" w:type="dxa"/>
            <w:vMerge/>
            <w:vAlign w:val="center"/>
            <w:hideMark/>
          </w:tcPr>
          <w:p w14:paraId="5AE39C0F"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68E6C237"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C. Distribución de Cartillas por municipio (anual)</w:t>
            </w:r>
          </w:p>
        </w:tc>
        <w:tc>
          <w:tcPr>
            <w:tcW w:w="850" w:type="dxa"/>
            <w:shd w:val="clear" w:color="auto" w:fill="auto"/>
            <w:noWrap/>
            <w:vAlign w:val="center"/>
            <w:hideMark/>
          </w:tcPr>
          <w:p w14:paraId="77B59EDB"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1000</w:t>
            </w:r>
          </w:p>
        </w:tc>
        <w:tc>
          <w:tcPr>
            <w:tcW w:w="1276" w:type="dxa"/>
            <w:shd w:val="clear" w:color="auto" w:fill="auto"/>
            <w:noWrap/>
            <w:vAlign w:val="center"/>
            <w:hideMark/>
          </w:tcPr>
          <w:p w14:paraId="0D9C2076"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unidades</w:t>
            </w:r>
          </w:p>
        </w:tc>
        <w:tc>
          <w:tcPr>
            <w:tcW w:w="1176" w:type="dxa"/>
            <w:shd w:val="clear" w:color="auto" w:fill="auto"/>
            <w:noWrap/>
            <w:vAlign w:val="center"/>
            <w:hideMark/>
          </w:tcPr>
          <w:p w14:paraId="39960DBC" w14:textId="415752C9"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$25.000 </w:t>
            </w:r>
          </w:p>
        </w:tc>
        <w:tc>
          <w:tcPr>
            <w:tcW w:w="1278" w:type="dxa"/>
            <w:shd w:val="clear" w:color="auto" w:fill="auto"/>
            <w:noWrap/>
            <w:vAlign w:val="center"/>
            <w:hideMark/>
          </w:tcPr>
          <w:p w14:paraId="4C99A7FC" w14:textId="7E23F5C0"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$ 25.000.000 </w:t>
            </w:r>
          </w:p>
        </w:tc>
      </w:tr>
      <w:tr w:rsidR="00C2032A" w:rsidRPr="00A73608" w14:paraId="1C0B21E9" w14:textId="77777777" w:rsidTr="000A0B21">
        <w:trPr>
          <w:trHeight w:val="20"/>
        </w:trPr>
        <w:tc>
          <w:tcPr>
            <w:tcW w:w="1146" w:type="dxa"/>
            <w:vMerge/>
            <w:vAlign w:val="center"/>
            <w:hideMark/>
          </w:tcPr>
          <w:p w14:paraId="2BC7A624"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253D80A2"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D. Distribución de Boletines por municipio (anual)</w:t>
            </w:r>
          </w:p>
        </w:tc>
        <w:tc>
          <w:tcPr>
            <w:tcW w:w="850" w:type="dxa"/>
            <w:shd w:val="clear" w:color="auto" w:fill="auto"/>
            <w:noWrap/>
            <w:vAlign w:val="center"/>
            <w:hideMark/>
          </w:tcPr>
          <w:p w14:paraId="437C7A41"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1000</w:t>
            </w:r>
          </w:p>
        </w:tc>
        <w:tc>
          <w:tcPr>
            <w:tcW w:w="1276" w:type="dxa"/>
            <w:shd w:val="clear" w:color="auto" w:fill="auto"/>
            <w:noWrap/>
            <w:vAlign w:val="center"/>
            <w:hideMark/>
          </w:tcPr>
          <w:p w14:paraId="196ADA52"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unidades</w:t>
            </w:r>
          </w:p>
        </w:tc>
        <w:tc>
          <w:tcPr>
            <w:tcW w:w="1176" w:type="dxa"/>
            <w:shd w:val="clear" w:color="auto" w:fill="auto"/>
            <w:noWrap/>
            <w:vAlign w:val="center"/>
            <w:hideMark/>
          </w:tcPr>
          <w:p w14:paraId="334632F0" w14:textId="4E0FC7F5"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$5.000 </w:t>
            </w:r>
          </w:p>
        </w:tc>
        <w:tc>
          <w:tcPr>
            <w:tcW w:w="1278" w:type="dxa"/>
            <w:shd w:val="clear" w:color="auto" w:fill="auto"/>
            <w:noWrap/>
            <w:vAlign w:val="center"/>
            <w:hideMark/>
          </w:tcPr>
          <w:p w14:paraId="271CEF0A" w14:textId="4497CC0C"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5.000.000 </w:t>
            </w:r>
          </w:p>
        </w:tc>
      </w:tr>
      <w:tr w:rsidR="00C2032A" w:rsidRPr="00A73608" w14:paraId="5F71F7AD" w14:textId="77777777" w:rsidTr="000A0B21">
        <w:trPr>
          <w:trHeight w:val="20"/>
        </w:trPr>
        <w:tc>
          <w:tcPr>
            <w:tcW w:w="1146" w:type="dxa"/>
            <w:vMerge/>
            <w:vAlign w:val="center"/>
            <w:hideMark/>
          </w:tcPr>
          <w:p w14:paraId="7220A1DC"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68EE7A4B"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E. Distribución de Afiches por municipio (anual)</w:t>
            </w:r>
          </w:p>
        </w:tc>
        <w:tc>
          <w:tcPr>
            <w:tcW w:w="850" w:type="dxa"/>
            <w:shd w:val="clear" w:color="auto" w:fill="auto"/>
            <w:noWrap/>
            <w:vAlign w:val="center"/>
            <w:hideMark/>
          </w:tcPr>
          <w:p w14:paraId="1FD67560"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500</w:t>
            </w:r>
          </w:p>
        </w:tc>
        <w:tc>
          <w:tcPr>
            <w:tcW w:w="1276" w:type="dxa"/>
            <w:shd w:val="clear" w:color="auto" w:fill="auto"/>
            <w:noWrap/>
            <w:vAlign w:val="center"/>
            <w:hideMark/>
          </w:tcPr>
          <w:p w14:paraId="0161AD75"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unidades</w:t>
            </w:r>
          </w:p>
        </w:tc>
        <w:tc>
          <w:tcPr>
            <w:tcW w:w="1176" w:type="dxa"/>
            <w:shd w:val="clear" w:color="auto" w:fill="auto"/>
            <w:noWrap/>
            <w:vAlign w:val="center"/>
            <w:hideMark/>
          </w:tcPr>
          <w:p w14:paraId="1B482338" w14:textId="4E76D1CD"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$15.000 </w:t>
            </w:r>
          </w:p>
        </w:tc>
        <w:tc>
          <w:tcPr>
            <w:tcW w:w="1278" w:type="dxa"/>
            <w:shd w:val="clear" w:color="auto" w:fill="auto"/>
            <w:noWrap/>
            <w:vAlign w:val="center"/>
            <w:hideMark/>
          </w:tcPr>
          <w:p w14:paraId="397BDA49" w14:textId="0E7BC799"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7.500.000 </w:t>
            </w:r>
          </w:p>
        </w:tc>
      </w:tr>
      <w:tr w:rsidR="00C2032A" w:rsidRPr="00A73608" w14:paraId="161832E1" w14:textId="77777777" w:rsidTr="000A0B21">
        <w:trPr>
          <w:trHeight w:val="20"/>
        </w:trPr>
        <w:tc>
          <w:tcPr>
            <w:tcW w:w="8828" w:type="dxa"/>
            <w:gridSpan w:val="6"/>
            <w:shd w:val="clear" w:color="000000" w:fill="D9E1F2"/>
            <w:noWrap/>
            <w:vAlign w:val="center"/>
            <w:hideMark/>
          </w:tcPr>
          <w:p w14:paraId="32377F37" w14:textId="77777777" w:rsidR="00C2032A" w:rsidRPr="00A73608" w:rsidRDefault="00C2032A" w:rsidP="000A0B21">
            <w:pPr>
              <w:spacing w:after="0" w:line="240" w:lineRule="auto"/>
              <w:contextualSpacing/>
              <w:jc w:val="center"/>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lastRenderedPageBreak/>
              <w:t>2. Atención y labores de oficina</w:t>
            </w:r>
          </w:p>
        </w:tc>
      </w:tr>
      <w:tr w:rsidR="00C2032A" w:rsidRPr="00A73608" w14:paraId="1A9634DC" w14:textId="77777777" w:rsidTr="000A0B21">
        <w:trPr>
          <w:trHeight w:val="20"/>
        </w:trPr>
        <w:tc>
          <w:tcPr>
            <w:tcW w:w="1146" w:type="dxa"/>
            <w:vMerge w:val="restart"/>
            <w:shd w:val="clear" w:color="auto" w:fill="auto"/>
            <w:vAlign w:val="center"/>
            <w:hideMark/>
          </w:tcPr>
          <w:p w14:paraId="3964A9AC"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Atención de 100 personas promedio al mes y realización de informes y trámites de oficina</w:t>
            </w:r>
          </w:p>
        </w:tc>
        <w:tc>
          <w:tcPr>
            <w:tcW w:w="3102" w:type="dxa"/>
            <w:shd w:val="clear" w:color="auto" w:fill="auto"/>
            <w:noWrap/>
            <w:vAlign w:val="center"/>
            <w:hideMark/>
          </w:tcPr>
          <w:p w14:paraId="65CDED58"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A. Salario promedio del extensionista / 4 días al mes</w:t>
            </w:r>
          </w:p>
        </w:tc>
        <w:tc>
          <w:tcPr>
            <w:tcW w:w="850" w:type="dxa"/>
            <w:shd w:val="clear" w:color="auto" w:fill="auto"/>
            <w:noWrap/>
            <w:vAlign w:val="center"/>
            <w:hideMark/>
          </w:tcPr>
          <w:p w14:paraId="28173C36"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4</w:t>
            </w:r>
          </w:p>
        </w:tc>
        <w:tc>
          <w:tcPr>
            <w:tcW w:w="1276" w:type="dxa"/>
            <w:shd w:val="clear" w:color="auto" w:fill="auto"/>
            <w:noWrap/>
            <w:vAlign w:val="center"/>
            <w:hideMark/>
          </w:tcPr>
          <w:p w14:paraId="1E6DA508"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días laborales/mes</w:t>
            </w:r>
          </w:p>
        </w:tc>
        <w:tc>
          <w:tcPr>
            <w:tcW w:w="1176" w:type="dxa"/>
            <w:shd w:val="clear" w:color="auto" w:fill="auto"/>
            <w:noWrap/>
            <w:vAlign w:val="center"/>
            <w:hideMark/>
          </w:tcPr>
          <w:p w14:paraId="6F60ED55" w14:textId="3F5B9078"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$200.000 </w:t>
            </w:r>
          </w:p>
        </w:tc>
        <w:tc>
          <w:tcPr>
            <w:tcW w:w="1278" w:type="dxa"/>
            <w:shd w:val="clear" w:color="auto" w:fill="auto"/>
            <w:noWrap/>
            <w:vAlign w:val="center"/>
            <w:hideMark/>
          </w:tcPr>
          <w:p w14:paraId="747DD661" w14:textId="3DA4E6E3"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800.000 </w:t>
            </w:r>
          </w:p>
        </w:tc>
      </w:tr>
      <w:tr w:rsidR="00C2032A" w:rsidRPr="00A73608" w14:paraId="7DB5240C" w14:textId="77777777" w:rsidTr="000A0B21">
        <w:trPr>
          <w:trHeight w:val="20"/>
        </w:trPr>
        <w:tc>
          <w:tcPr>
            <w:tcW w:w="1146" w:type="dxa"/>
            <w:vMerge/>
            <w:vAlign w:val="center"/>
            <w:hideMark/>
          </w:tcPr>
          <w:p w14:paraId="0F76ABE0"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vAlign w:val="center"/>
            <w:hideMark/>
          </w:tcPr>
          <w:p w14:paraId="56AC5C95"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B. Arrendamiento, servicios públicos y otros gastos / extensionista</w:t>
            </w:r>
          </w:p>
        </w:tc>
        <w:tc>
          <w:tcPr>
            <w:tcW w:w="850" w:type="dxa"/>
            <w:shd w:val="clear" w:color="auto" w:fill="auto"/>
            <w:noWrap/>
            <w:vAlign w:val="center"/>
            <w:hideMark/>
          </w:tcPr>
          <w:p w14:paraId="2D68A06A"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w:t>
            </w:r>
          </w:p>
        </w:tc>
        <w:tc>
          <w:tcPr>
            <w:tcW w:w="1276" w:type="dxa"/>
            <w:shd w:val="clear" w:color="auto" w:fill="auto"/>
            <w:noWrap/>
            <w:vAlign w:val="center"/>
            <w:hideMark/>
          </w:tcPr>
          <w:p w14:paraId="21DEC5A5"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global mensual</w:t>
            </w:r>
          </w:p>
        </w:tc>
        <w:tc>
          <w:tcPr>
            <w:tcW w:w="1176" w:type="dxa"/>
            <w:shd w:val="clear" w:color="auto" w:fill="auto"/>
            <w:noWrap/>
            <w:vAlign w:val="center"/>
            <w:hideMark/>
          </w:tcPr>
          <w:p w14:paraId="7A511B30" w14:textId="36C2341F"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$200.000 </w:t>
            </w:r>
          </w:p>
        </w:tc>
        <w:tc>
          <w:tcPr>
            <w:tcW w:w="1278" w:type="dxa"/>
            <w:shd w:val="clear" w:color="auto" w:fill="auto"/>
            <w:noWrap/>
            <w:vAlign w:val="center"/>
            <w:hideMark/>
          </w:tcPr>
          <w:p w14:paraId="148CEEE3" w14:textId="7A3A760B"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200.000 </w:t>
            </w:r>
          </w:p>
        </w:tc>
      </w:tr>
      <w:tr w:rsidR="00C2032A" w:rsidRPr="00A73608" w14:paraId="07CA4D8C" w14:textId="77777777" w:rsidTr="000A0B21">
        <w:trPr>
          <w:trHeight w:val="20"/>
        </w:trPr>
        <w:tc>
          <w:tcPr>
            <w:tcW w:w="1146" w:type="dxa"/>
            <w:vMerge/>
            <w:vAlign w:val="center"/>
            <w:hideMark/>
          </w:tcPr>
          <w:p w14:paraId="2934D94C"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6B80F2AD"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C. Materiales, Equipos, Papelería e Insumos / extensionista</w:t>
            </w:r>
          </w:p>
        </w:tc>
        <w:tc>
          <w:tcPr>
            <w:tcW w:w="850" w:type="dxa"/>
            <w:shd w:val="clear" w:color="auto" w:fill="auto"/>
            <w:noWrap/>
            <w:vAlign w:val="center"/>
            <w:hideMark/>
          </w:tcPr>
          <w:p w14:paraId="4CEACE48"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w:t>
            </w:r>
          </w:p>
        </w:tc>
        <w:tc>
          <w:tcPr>
            <w:tcW w:w="1276" w:type="dxa"/>
            <w:shd w:val="clear" w:color="auto" w:fill="auto"/>
            <w:noWrap/>
            <w:vAlign w:val="center"/>
            <w:hideMark/>
          </w:tcPr>
          <w:p w14:paraId="66F88EAC"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global mensual</w:t>
            </w:r>
          </w:p>
        </w:tc>
        <w:tc>
          <w:tcPr>
            <w:tcW w:w="1176" w:type="dxa"/>
            <w:shd w:val="clear" w:color="auto" w:fill="auto"/>
            <w:noWrap/>
            <w:vAlign w:val="center"/>
            <w:hideMark/>
          </w:tcPr>
          <w:p w14:paraId="6886599D" w14:textId="53564BA6"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$100.000 </w:t>
            </w:r>
          </w:p>
        </w:tc>
        <w:tc>
          <w:tcPr>
            <w:tcW w:w="1278" w:type="dxa"/>
            <w:shd w:val="clear" w:color="auto" w:fill="auto"/>
            <w:noWrap/>
            <w:vAlign w:val="center"/>
            <w:hideMark/>
          </w:tcPr>
          <w:p w14:paraId="0528C2EA" w14:textId="2FCF6D32"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100.000 </w:t>
            </w:r>
          </w:p>
        </w:tc>
      </w:tr>
      <w:tr w:rsidR="00C2032A" w:rsidRPr="00A73608" w14:paraId="7D6005DB" w14:textId="77777777" w:rsidTr="000A0B21">
        <w:trPr>
          <w:trHeight w:val="20"/>
        </w:trPr>
        <w:tc>
          <w:tcPr>
            <w:tcW w:w="1146" w:type="dxa"/>
            <w:vMerge/>
            <w:vAlign w:val="center"/>
            <w:hideMark/>
          </w:tcPr>
          <w:p w14:paraId="770DB2B9"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638E4C41"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D. Auxilio para celular / extensionista</w:t>
            </w:r>
          </w:p>
        </w:tc>
        <w:tc>
          <w:tcPr>
            <w:tcW w:w="850" w:type="dxa"/>
            <w:shd w:val="clear" w:color="auto" w:fill="auto"/>
            <w:noWrap/>
            <w:vAlign w:val="center"/>
            <w:hideMark/>
          </w:tcPr>
          <w:p w14:paraId="65104CED"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w:t>
            </w:r>
          </w:p>
        </w:tc>
        <w:tc>
          <w:tcPr>
            <w:tcW w:w="1276" w:type="dxa"/>
            <w:shd w:val="clear" w:color="auto" w:fill="auto"/>
            <w:noWrap/>
            <w:vAlign w:val="center"/>
            <w:hideMark/>
          </w:tcPr>
          <w:p w14:paraId="3D640ED8"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plan mensual</w:t>
            </w:r>
          </w:p>
        </w:tc>
        <w:tc>
          <w:tcPr>
            <w:tcW w:w="1176" w:type="dxa"/>
            <w:shd w:val="clear" w:color="auto" w:fill="auto"/>
            <w:noWrap/>
            <w:vAlign w:val="center"/>
            <w:hideMark/>
          </w:tcPr>
          <w:p w14:paraId="429A39C7" w14:textId="30A0F699"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$100.000 </w:t>
            </w:r>
          </w:p>
        </w:tc>
        <w:tc>
          <w:tcPr>
            <w:tcW w:w="1278" w:type="dxa"/>
            <w:shd w:val="clear" w:color="auto" w:fill="auto"/>
            <w:noWrap/>
            <w:vAlign w:val="center"/>
            <w:hideMark/>
          </w:tcPr>
          <w:p w14:paraId="31A761CF" w14:textId="439CF1E7"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100.000 </w:t>
            </w:r>
          </w:p>
        </w:tc>
      </w:tr>
      <w:tr w:rsidR="00C2032A" w:rsidRPr="00A73608" w14:paraId="312624E0" w14:textId="77777777" w:rsidTr="000A0B21">
        <w:trPr>
          <w:trHeight w:val="20"/>
        </w:trPr>
        <w:tc>
          <w:tcPr>
            <w:tcW w:w="1146" w:type="dxa"/>
            <w:vMerge/>
            <w:vAlign w:val="center"/>
            <w:hideMark/>
          </w:tcPr>
          <w:p w14:paraId="67CDA395"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5709833D"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Total (A+B+C+D)</w:t>
            </w:r>
          </w:p>
        </w:tc>
        <w:tc>
          <w:tcPr>
            <w:tcW w:w="850" w:type="dxa"/>
            <w:shd w:val="clear" w:color="auto" w:fill="auto"/>
            <w:noWrap/>
            <w:vAlign w:val="center"/>
            <w:hideMark/>
          </w:tcPr>
          <w:p w14:paraId="22FC9B85"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6" w:type="dxa"/>
            <w:shd w:val="clear" w:color="auto" w:fill="auto"/>
            <w:noWrap/>
            <w:vAlign w:val="center"/>
            <w:hideMark/>
          </w:tcPr>
          <w:p w14:paraId="4FE7076B" w14:textId="4512B55E"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p>
        </w:tc>
        <w:tc>
          <w:tcPr>
            <w:tcW w:w="1176" w:type="dxa"/>
            <w:shd w:val="clear" w:color="auto" w:fill="auto"/>
            <w:noWrap/>
            <w:vAlign w:val="center"/>
            <w:hideMark/>
          </w:tcPr>
          <w:p w14:paraId="6D14865C" w14:textId="77777777"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8" w:type="dxa"/>
            <w:shd w:val="clear" w:color="auto" w:fill="auto"/>
            <w:noWrap/>
            <w:vAlign w:val="center"/>
            <w:hideMark/>
          </w:tcPr>
          <w:p w14:paraId="4773663E" w14:textId="76F9037B" w:rsidR="00C2032A" w:rsidRPr="00A73608" w:rsidRDefault="00C2032A" w:rsidP="00C2032A">
            <w:pPr>
              <w:spacing w:after="0" w:line="240" w:lineRule="auto"/>
              <w:contextualSpacing/>
              <w:jc w:val="right"/>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 xml:space="preserve"> $      1.200.000 </w:t>
            </w:r>
          </w:p>
        </w:tc>
      </w:tr>
      <w:tr w:rsidR="00C2032A" w:rsidRPr="00A73608" w14:paraId="78176BDF" w14:textId="77777777" w:rsidTr="000A0B21">
        <w:trPr>
          <w:trHeight w:val="20"/>
        </w:trPr>
        <w:tc>
          <w:tcPr>
            <w:tcW w:w="1146" w:type="dxa"/>
            <w:shd w:val="clear" w:color="auto" w:fill="auto"/>
            <w:noWrap/>
            <w:vAlign w:val="center"/>
            <w:hideMark/>
          </w:tcPr>
          <w:p w14:paraId="1F6182BD" w14:textId="77777777"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p>
        </w:tc>
        <w:tc>
          <w:tcPr>
            <w:tcW w:w="3102" w:type="dxa"/>
            <w:shd w:val="clear" w:color="auto" w:fill="auto"/>
            <w:noWrap/>
            <w:vAlign w:val="center"/>
            <w:hideMark/>
          </w:tcPr>
          <w:p w14:paraId="7AE14C92" w14:textId="77777777" w:rsidR="00C2032A" w:rsidRPr="00A73608" w:rsidRDefault="00C2032A" w:rsidP="00C2032A">
            <w:pPr>
              <w:spacing w:after="0" w:line="240" w:lineRule="auto"/>
              <w:contextualSpacing/>
              <w:rPr>
                <w:rFonts w:asciiTheme="majorHAnsi" w:eastAsia="Times New Roman" w:hAnsiTheme="majorHAnsi" w:cs="Times New Roman"/>
                <w:sz w:val="16"/>
                <w:szCs w:val="16"/>
                <w:lang w:eastAsia="es-CO"/>
              </w:rPr>
            </w:pPr>
          </w:p>
        </w:tc>
        <w:tc>
          <w:tcPr>
            <w:tcW w:w="850" w:type="dxa"/>
            <w:shd w:val="clear" w:color="auto" w:fill="auto"/>
            <w:noWrap/>
            <w:vAlign w:val="center"/>
            <w:hideMark/>
          </w:tcPr>
          <w:p w14:paraId="30437AEB" w14:textId="77777777" w:rsidR="00C2032A" w:rsidRPr="00A73608" w:rsidRDefault="00C2032A" w:rsidP="00C2032A">
            <w:pPr>
              <w:spacing w:after="0" w:line="240" w:lineRule="auto"/>
              <w:contextualSpacing/>
              <w:rPr>
                <w:rFonts w:asciiTheme="majorHAnsi" w:eastAsia="Times New Roman" w:hAnsiTheme="majorHAnsi" w:cs="Times New Roman"/>
                <w:sz w:val="16"/>
                <w:szCs w:val="16"/>
                <w:lang w:eastAsia="es-CO"/>
              </w:rPr>
            </w:pPr>
          </w:p>
        </w:tc>
        <w:tc>
          <w:tcPr>
            <w:tcW w:w="1276" w:type="dxa"/>
            <w:shd w:val="clear" w:color="auto" w:fill="auto"/>
            <w:noWrap/>
            <w:vAlign w:val="center"/>
            <w:hideMark/>
          </w:tcPr>
          <w:p w14:paraId="27CF6935" w14:textId="77777777" w:rsidR="00C2032A" w:rsidRPr="00A73608" w:rsidRDefault="00C2032A" w:rsidP="000A0B21">
            <w:pPr>
              <w:spacing w:after="0" w:line="240" w:lineRule="auto"/>
              <w:contextualSpacing/>
              <w:jc w:val="center"/>
              <w:rPr>
                <w:rFonts w:asciiTheme="majorHAnsi" w:eastAsia="Times New Roman" w:hAnsiTheme="majorHAnsi" w:cs="Times New Roman"/>
                <w:sz w:val="16"/>
                <w:szCs w:val="16"/>
                <w:lang w:eastAsia="es-CO"/>
              </w:rPr>
            </w:pPr>
          </w:p>
        </w:tc>
        <w:tc>
          <w:tcPr>
            <w:tcW w:w="1176" w:type="dxa"/>
            <w:shd w:val="clear" w:color="auto" w:fill="auto"/>
            <w:noWrap/>
            <w:vAlign w:val="center"/>
            <w:hideMark/>
          </w:tcPr>
          <w:p w14:paraId="5B03D5F1" w14:textId="77777777" w:rsidR="00C2032A" w:rsidRPr="00A73608" w:rsidRDefault="00C2032A" w:rsidP="00C2032A">
            <w:pPr>
              <w:spacing w:after="0" w:line="240" w:lineRule="auto"/>
              <w:contextualSpacing/>
              <w:jc w:val="right"/>
              <w:rPr>
                <w:rFonts w:asciiTheme="majorHAnsi" w:eastAsia="Times New Roman" w:hAnsiTheme="majorHAnsi" w:cs="Times New Roman"/>
                <w:sz w:val="16"/>
                <w:szCs w:val="16"/>
                <w:lang w:eastAsia="es-CO"/>
              </w:rPr>
            </w:pPr>
          </w:p>
        </w:tc>
        <w:tc>
          <w:tcPr>
            <w:tcW w:w="1278" w:type="dxa"/>
            <w:shd w:val="clear" w:color="auto" w:fill="auto"/>
            <w:noWrap/>
            <w:vAlign w:val="center"/>
            <w:hideMark/>
          </w:tcPr>
          <w:p w14:paraId="3D336787" w14:textId="77777777" w:rsidR="00C2032A" w:rsidRPr="00A73608" w:rsidRDefault="00C2032A" w:rsidP="00C2032A">
            <w:pPr>
              <w:spacing w:after="0" w:line="240" w:lineRule="auto"/>
              <w:contextualSpacing/>
              <w:jc w:val="right"/>
              <w:rPr>
                <w:rFonts w:asciiTheme="majorHAnsi" w:eastAsia="Times New Roman" w:hAnsiTheme="majorHAnsi" w:cs="Times New Roman"/>
                <w:sz w:val="16"/>
                <w:szCs w:val="16"/>
                <w:lang w:eastAsia="es-CO"/>
              </w:rPr>
            </w:pPr>
          </w:p>
        </w:tc>
      </w:tr>
      <w:tr w:rsidR="00C2032A" w:rsidRPr="00A73608" w14:paraId="49DF5E96" w14:textId="77777777" w:rsidTr="000A0B21">
        <w:trPr>
          <w:trHeight w:val="20"/>
        </w:trPr>
        <w:tc>
          <w:tcPr>
            <w:tcW w:w="8828" w:type="dxa"/>
            <w:gridSpan w:val="6"/>
            <w:shd w:val="clear" w:color="000000" w:fill="D9E1F2"/>
            <w:noWrap/>
            <w:vAlign w:val="center"/>
            <w:hideMark/>
          </w:tcPr>
          <w:p w14:paraId="3592554E" w14:textId="77777777" w:rsidR="00C2032A" w:rsidRPr="00A73608" w:rsidRDefault="00C2032A" w:rsidP="000A0B21">
            <w:pPr>
              <w:spacing w:after="0" w:line="240" w:lineRule="auto"/>
              <w:contextualSpacing/>
              <w:jc w:val="center"/>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3. Resumen de costos del servicio de extensión / UF / año</w:t>
            </w:r>
          </w:p>
        </w:tc>
      </w:tr>
      <w:tr w:rsidR="00C2032A" w:rsidRPr="00A73608" w14:paraId="648D6004" w14:textId="77777777" w:rsidTr="000A0B21">
        <w:trPr>
          <w:trHeight w:val="20"/>
        </w:trPr>
        <w:tc>
          <w:tcPr>
            <w:tcW w:w="1146" w:type="dxa"/>
            <w:shd w:val="clear" w:color="auto" w:fill="auto"/>
            <w:noWrap/>
            <w:vAlign w:val="center"/>
            <w:hideMark/>
          </w:tcPr>
          <w:p w14:paraId="193C84C0"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Visitas a la UF</w:t>
            </w:r>
          </w:p>
        </w:tc>
        <w:tc>
          <w:tcPr>
            <w:tcW w:w="3102" w:type="dxa"/>
            <w:shd w:val="clear" w:color="auto" w:fill="auto"/>
            <w:noWrap/>
            <w:vAlign w:val="center"/>
            <w:hideMark/>
          </w:tcPr>
          <w:p w14:paraId="41BD6E93"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A. Cada UF recibiría 4 visitas/año</w:t>
            </w:r>
          </w:p>
        </w:tc>
        <w:tc>
          <w:tcPr>
            <w:tcW w:w="850" w:type="dxa"/>
            <w:shd w:val="clear" w:color="auto" w:fill="auto"/>
            <w:noWrap/>
            <w:vAlign w:val="center"/>
            <w:hideMark/>
          </w:tcPr>
          <w:p w14:paraId="1B47D96B"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4</w:t>
            </w:r>
          </w:p>
        </w:tc>
        <w:tc>
          <w:tcPr>
            <w:tcW w:w="1276" w:type="dxa"/>
            <w:shd w:val="clear" w:color="auto" w:fill="auto"/>
            <w:noWrap/>
            <w:vAlign w:val="center"/>
            <w:hideMark/>
          </w:tcPr>
          <w:p w14:paraId="2E6C9372"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costo/visita</w:t>
            </w:r>
          </w:p>
        </w:tc>
        <w:tc>
          <w:tcPr>
            <w:tcW w:w="1176" w:type="dxa"/>
            <w:shd w:val="clear" w:color="auto" w:fill="auto"/>
            <w:noWrap/>
            <w:vAlign w:val="center"/>
            <w:hideMark/>
          </w:tcPr>
          <w:p w14:paraId="16615163" w14:textId="13C1B367"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78.000 </w:t>
            </w:r>
          </w:p>
        </w:tc>
        <w:tc>
          <w:tcPr>
            <w:tcW w:w="1278" w:type="dxa"/>
            <w:shd w:val="clear" w:color="auto" w:fill="auto"/>
            <w:noWrap/>
            <w:vAlign w:val="center"/>
            <w:hideMark/>
          </w:tcPr>
          <w:p w14:paraId="2E7BF5B1" w14:textId="00996FD1"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312.000 </w:t>
            </w:r>
          </w:p>
        </w:tc>
      </w:tr>
      <w:tr w:rsidR="00C2032A" w:rsidRPr="00A73608" w14:paraId="2A981F84" w14:textId="77777777" w:rsidTr="000A0B21">
        <w:trPr>
          <w:trHeight w:val="20"/>
        </w:trPr>
        <w:tc>
          <w:tcPr>
            <w:tcW w:w="1146" w:type="dxa"/>
            <w:shd w:val="clear" w:color="auto" w:fill="auto"/>
            <w:noWrap/>
            <w:vAlign w:val="center"/>
            <w:hideMark/>
          </w:tcPr>
          <w:p w14:paraId="1EA955B1"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Visitas de emergencia</w:t>
            </w:r>
          </w:p>
        </w:tc>
        <w:tc>
          <w:tcPr>
            <w:tcW w:w="3102" w:type="dxa"/>
            <w:shd w:val="clear" w:color="auto" w:fill="auto"/>
            <w:noWrap/>
            <w:vAlign w:val="center"/>
            <w:hideMark/>
          </w:tcPr>
          <w:p w14:paraId="614931C7"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B. En promedio una visita de emergencia por UF /año</w:t>
            </w:r>
          </w:p>
        </w:tc>
        <w:tc>
          <w:tcPr>
            <w:tcW w:w="850" w:type="dxa"/>
            <w:shd w:val="clear" w:color="auto" w:fill="auto"/>
            <w:noWrap/>
            <w:vAlign w:val="center"/>
            <w:hideMark/>
          </w:tcPr>
          <w:p w14:paraId="50078E43"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w:t>
            </w:r>
          </w:p>
        </w:tc>
        <w:tc>
          <w:tcPr>
            <w:tcW w:w="1276" w:type="dxa"/>
            <w:shd w:val="clear" w:color="auto" w:fill="auto"/>
            <w:noWrap/>
            <w:vAlign w:val="center"/>
            <w:hideMark/>
          </w:tcPr>
          <w:p w14:paraId="4CE97A8E"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costo / visita</w:t>
            </w:r>
          </w:p>
        </w:tc>
        <w:tc>
          <w:tcPr>
            <w:tcW w:w="1176" w:type="dxa"/>
            <w:shd w:val="clear" w:color="auto" w:fill="auto"/>
            <w:noWrap/>
            <w:vAlign w:val="center"/>
            <w:hideMark/>
          </w:tcPr>
          <w:p w14:paraId="340F67BD" w14:textId="090C3F70"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78.000 </w:t>
            </w:r>
          </w:p>
        </w:tc>
        <w:tc>
          <w:tcPr>
            <w:tcW w:w="1278" w:type="dxa"/>
            <w:shd w:val="clear" w:color="auto" w:fill="auto"/>
            <w:noWrap/>
            <w:vAlign w:val="center"/>
            <w:hideMark/>
          </w:tcPr>
          <w:p w14:paraId="4E0B8272" w14:textId="19635BB3"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78.000 </w:t>
            </w:r>
          </w:p>
        </w:tc>
      </w:tr>
      <w:tr w:rsidR="00C2032A" w:rsidRPr="00A73608" w14:paraId="26F738A0" w14:textId="77777777" w:rsidTr="000A0B21">
        <w:trPr>
          <w:trHeight w:val="20"/>
        </w:trPr>
        <w:tc>
          <w:tcPr>
            <w:tcW w:w="1146" w:type="dxa"/>
            <w:vMerge w:val="restart"/>
            <w:shd w:val="clear" w:color="auto" w:fill="auto"/>
            <w:noWrap/>
            <w:vAlign w:val="center"/>
            <w:hideMark/>
          </w:tcPr>
          <w:p w14:paraId="28FDC519"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Métodos grupales</w:t>
            </w:r>
          </w:p>
        </w:tc>
        <w:tc>
          <w:tcPr>
            <w:tcW w:w="3102" w:type="dxa"/>
            <w:shd w:val="clear" w:color="auto" w:fill="auto"/>
            <w:vAlign w:val="center"/>
            <w:hideMark/>
          </w:tcPr>
          <w:p w14:paraId="2A7F2820"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C. Cada productor que representa una UF participaría en 6 actividades /año</w:t>
            </w:r>
          </w:p>
        </w:tc>
        <w:tc>
          <w:tcPr>
            <w:tcW w:w="850" w:type="dxa"/>
            <w:shd w:val="clear" w:color="auto" w:fill="auto"/>
            <w:noWrap/>
            <w:vAlign w:val="center"/>
            <w:hideMark/>
          </w:tcPr>
          <w:p w14:paraId="6B331782"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6</w:t>
            </w:r>
          </w:p>
        </w:tc>
        <w:tc>
          <w:tcPr>
            <w:tcW w:w="1276" w:type="dxa"/>
            <w:shd w:val="clear" w:color="auto" w:fill="auto"/>
            <w:noWrap/>
            <w:vAlign w:val="center"/>
            <w:hideMark/>
          </w:tcPr>
          <w:p w14:paraId="2219C5CC" w14:textId="0A33E6AC"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actividades</w:t>
            </w:r>
          </w:p>
        </w:tc>
        <w:tc>
          <w:tcPr>
            <w:tcW w:w="1176" w:type="dxa"/>
            <w:shd w:val="clear" w:color="auto" w:fill="auto"/>
            <w:noWrap/>
            <w:vAlign w:val="center"/>
            <w:hideMark/>
          </w:tcPr>
          <w:p w14:paraId="51C5E86B" w14:textId="35EA72AF"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$ 13.750 </w:t>
            </w:r>
          </w:p>
        </w:tc>
        <w:tc>
          <w:tcPr>
            <w:tcW w:w="1278" w:type="dxa"/>
            <w:shd w:val="clear" w:color="auto" w:fill="auto"/>
            <w:noWrap/>
            <w:vAlign w:val="center"/>
            <w:hideMark/>
          </w:tcPr>
          <w:p w14:paraId="30722B63" w14:textId="7E3E6E3D"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82.500 </w:t>
            </w:r>
          </w:p>
        </w:tc>
      </w:tr>
      <w:tr w:rsidR="00C2032A" w:rsidRPr="00A73608" w14:paraId="7F0C1C6E" w14:textId="77777777" w:rsidTr="000A0B21">
        <w:trPr>
          <w:trHeight w:val="20"/>
        </w:trPr>
        <w:tc>
          <w:tcPr>
            <w:tcW w:w="1146" w:type="dxa"/>
            <w:vMerge/>
            <w:vAlign w:val="center"/>
            <w:hideMark/>
          </w:tcPr>
          <w:p w14:paraId="75442CC9"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vAlign w:val="center"/>
            <w:hideMark/>
          </w:tcPr>
          <w:p w14:paraId="537712FB"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D. Giras técnicas /año/20 personas, cada productor participaría en una gira /año</w:t>
            </w:r>
          </w:p>
        </w:tc>
        <w:tc>
          <w:tcPr>
            <w:tcW w:w="850" w:type="dxa"/>
            <w:shd w:val="clear" w:color="auto" w:fill="auto"/>
            <w:noWrap/>
            <w:vAlign w:val="center"/>
            <w:hideMark/>
          </w:tcPr>
          <w:p w14:paraId="1A1FF9AF"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w:t>
            </w:r>
          </w:p>
        </w:tc>
        <w:tc>
          <w:tcPr>
            <w:tcW w:w="1276" w:type="dxa"/>
            <w:shd w:val="clear" w:color="auto" w:fill="auto"/>
            <w:noWrap/>
            <w:vAlign w:val="center"/>
            <w:hideMark/>
          </w:tcPr>
          <w:p w14:paraId="57BA6186"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giras</w:t>
            </w:r>
          </w:p>
        </w:tc>
        <w:tc>
          <w:tcPr>
            <w:tcW w:w="1176" w:type="dxa"/>
            <w:shd w:val="clear" w:color="auto" w:fill="auto"/>
            <w:noWrap/>
            <w:vAlign w:val="center"/>
            <w:hideMark/>
          </w:tcPr>
          <w:p w14:paraId="243C3F4D" w14:textId="3C180768"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3.000.000 </w:t>
            </w:r>
          </w:p>
        </w:tc>
        <w:tc>
          <w:tcPr>
            <w:tcW w:w="1278" w:type="dxa"/>
            <w:shd w:val="clear" w:color="auto" w:fill="auto"/>
            <w:noWrap/>
            <w:vAlign w:val="center"/>
            <w:hideMark/>
          </w:tcPr>
          <w:p w14:paraId="36553CD9" w14:textId="00E0F455"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150.000 </w:t>
            </w:r>
          </w:p>
        </w:tc>
      </w:tr>
      <w:tr w:rsidR="00C2032A" w:rsidRPr="00A73608" w14:paraId="3A110A88" w14:textId="77777777" w:rsidTr="000A0B21">
        <w:trPr>
          <w:trHeight w:val="20"/>
        </w:trPr>
        <w:tc>
          <w:tcPr>
            <w:tcW w:w="1146" w:type="dxa"/>
            <w:vMerge w:val="restart"/>
            <w:shd w:val="clear" w:color="auto" w:fill="auto"/>
            <w:noWrap/>
            <w:vAlign w:val="center"/>
            <w:hideMark/>
          </w:tcPr>
          <w:p w14:paraId="0EABB2BB"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Masivos</w:t>
            </w:r>
          </w:p>
        </w:tc>
        <w:tc>
          <w:tcPr>
            <w:tcW w:w="3102" w:type="dxa"/>
            <w:shd w:val="clear" w:color="auto" w:fill="auto"/>
            <w:vAlign w:val="center"/>
            <w:hideMark/>
          </w:tcPr>
          <w:p w14:paraId="6BF472B1"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E. Programa de radio semanal con alcance para más de 1000 personas</w:t>
            </w:r>
          </w:p>
        </w:tc>
        <w:tc>
          <w:tcPr>
            <w:tcW w:w="850" w:type="dxa"/>
            <w:shd w:val="clear" w:color="auto" w:fill="auto"/>
            <w:noWrap/>
            <w:vAlign w:val="center"/>
            <w:hideMark/>
          </w:tcPr>
          <w:p w14:paraId="1BE0EA70"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52</w:t>
            </w:r>
          </w:p>
        </w:tc>
        <w:tc>
          <w:tcPr>
            <w:tcW w:w="1276" w:type="dxa"/>
            <w:shd w:val="clear" w:color="auto" w:fill="auto"/>
            <w:vAlign w:val="center"/>
            <w:hideMark/>
          </w:tcPr>
          <w:p w14:paraId="1E8E812A"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programas/ 1000 oyentes</w:t>
            </w:r>
          </w:p>
        </w:tc>
        <w:tc>
          <w:tcPr>
            <w:tcW w:w="1176" w:type="dxa"/>
            <w:shd w:val="clear" w:color="auto" w:fill="auto"/>
            <w:noWrap/>
            <w:vAlign w:val="center"/>
            <w:hideMark/>
          </w:tcPr>
          <w:p w14:paraId="5BFDDDC1" w14:textId="434A1356"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105.000 </w:t>
            </w:r>
          </w:p>
        </w:tc>
        <w:tc>
          <w:tcPr>
            <w:tcW w:w="1278" w:type="dxa"/>
            <w:shd w:val="clear" w:color="auto" w:fill="auto"/>
            <w:noWrap/>
            <w:vAlign w:val="center"/>
            <w:hideMark/>
          </w:tcPr>
          <w:p w14:paraId="3531297A" w14:textId="0BD493D3"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5.460 </w:t>
            </w:r>
          </w:p>
        </w:tc>
      </w:tr>
      <w:tr w:rsidR="00C2032A" w:rsidRPr="00A73608" w14:paraId="35CCD04F" w14:textId="77777777" w:rsidTr="000A0B21">
        <w:trPr>
          <w:trHeight w:val="20"/>
        </w:trPr>
        <w:tc>
          <w:tcPr>
            <w:tcW w:w="1146" w:type="dxa"/>
            <w:vMerge/>
            <w:vAlign w:val="center"/>
            <w:hideMark/>
          </w:tcPr>
          <w:p w14:paraId="3ACDDBBF"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06740E26"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F. Emisión de periódico (mensual) por 1000 unidades</w:t>
            </w:r>
          </w:p>
        </w:tc>
        <w:tc>
          <w:tcPr>
            <w:tcW w:w="850" w:type="dxa"/>
            <w:shd w:val="clear" w:color="auto" w:fill="auto"/>
            <w:noWrap/>
            <w:vAlign w:val="center"/>
            <w:hideMark/>
          </w:tcPr>
          <w:p w14:paraId="2D4F8087" w14:textId="77777777"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12</w:t>
            </w:r>
          </w:p>
        </w:tc>
        <w:tc>
          <w:tcPr>
            <w:tcW w:w="1276" w:type="dxa"/>
            <w:shd w:val="clear" w:color="auto" w:fill="auto"/>
            <w:noWrap/>
            <w:vAlign w:val="center"/>
            <w:hideMark/>
          </w:tcPr>
          <w:p w14:paraId="5E0281C6"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emisiones</w:t>
            </w:r>
          </w:p>
        </w:tc>
        <w:tc>
          <w:tcPr>
            <w:tcW w:w="1176" w:type="dxa"/>
            <w:shd w:val="clear" w:color="auto" w:fill="auto"/>
            <w:noWrap/>
            <w:vAlign w:val="center"/>
            <w:hideMark/>
          </w:tcPr>
          <w:p w14:paraId="213974C1" w14:textId="2A211683"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$2.000.000 </w:t>
            </w:r>
          </w:p>
        </w:tc>
        <w:tc>
          <w:tcPr>
            <w:tcW w:w="1278" w:type="dxa"/>
            <w:shd w:val="clear" w:color="auto" w:fill="auto"/>
            <w:noWrap/>
            <w:vAlign w:val="center"/>
            <w:hideMark/>
          </w:tcPr>
          <w:p w14:paraId="3440D233" w14:textId="4970E79B"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$ 24.000 </w:t>
            </w:r>
          </w:p>
        </w:tc>
      </w:tr>
      <w:tr w:rsidR="00C2032A" w:rsidRPr="00A73608" w14:paraId="470F38F7" w14:textId="77777777" w:rsidTr="000A0B21">
        <w:trPr>
          <w:trHeight w:val="20"/>
        </w:trPr>
        <w:tc>
          <w:tcPr>
            <w:tcW w:w="1146" w:type="dxa"/>
            <w:vMerge/>
            <w:vAlign w:val="center"/>
            <w:hideMark/>
          </w:tcPr>
          <w:p w14:paraId="0D60421D"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40D51D17"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G. Distribución de Cartillas por municipio (anual)</w:t>
            </w:r>
          </w:p>
        </w:tc>
        <w:tc>
          <w:tcPr>
            <w:tcW w:w="850" w:type="dxa"/>
            <w:shd w:val="clear" w:color="auto" w:fill="auto"/>
            <w:noWrap/>
            <w:vAlign w:val="center"/>
            <w:hideMark/>
          </w:tcPr>
          <w:p w14:paraId="4AC9CAEE"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1000</w:t>
            </w:r>
          </w:p>
        </w:tc>
        <w:tc>
          <w:tcPr>
            <w:tcW w:w="1276" w:type="dxa"/>
            <w:shd w:val="clear" w:color="auto" w:fill="auto"/>
            <w:noWrap/>
            <w:vAlign w:val="center"/>
            <w:hideMark/>
          </w:tcPr>
          <w:p w14:paraId="3A7AE28E"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unidades</w:t>
            </w:r>
          </w:p>
        </w:tc>
        <w:tc>
          <w:tcPr>
            <w:tcW w:w="1176" w:type="dxa"/>
            <w:shd w:val="clear" w:color="auto" w:fill="auto"/>
            <w:noWrap/>
            <w:vAlign w:val="center"/>
            <w:hideMark/>
          </w:tcPr>
          <w:p w14:paraId="1752301D" w14:textId="52696BA4"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$25.000 </w:t>
            </w:r>
          </w:p>
        </w:tc>
        <w:tc>
          <w:tcPr>
            <w:tcW w:w="1278" w:type="dxa"/>
            <w:shd w:val="clear" w:color="auto" w:fill="auto"/>
            <w:noWrap/>
            <w:vAlign w:val="center"/>
            <w:hideMark/>
          </w:tcPr>
          <w:p w14:paraId="470C89CC" w14:textId="31535A6E"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$25.000 </w:t>
            </w:r>
          </w:p>
        </w:tc>
      </w:tr>
      <w:tr w:rsidR="00C2032A" w:rsidRPr="00A73608" w14:paraId="2257751D" w14:textId="77777777" w:rsidTr="000A0B21">
        <w:trPr>
          <w:trHeight w:val="20"/>
        </w:trPr>
        <w:tc>
          <w:tcPr>
            <w:tcW w:w="1146" w:type="dxa"/>
            <w:vMerge/>
            <w:vAlign w:val="center"/>
            <w:hideMark/>
          </w:tcPr>
          <w:p w14:paraId="2E093E1D"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33A0A4F8"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H. Distribución de Boletines por municipio (anual)</w:t>
            </w:r>
          </w:p>
        </w:tc>
        <w:tc>
          <w:tcPr>
            <w:tcW w:w="850" w:type="dxa"/>
            <w:shd w:val="clear" w:color="auto" w:fill="auto"/>
            <w:noWrap/>
            <w:vAlign w:val="center"/>
            <w:hideMark/>
          </w:tcPr>
          <w:p w14:paraId="34E58E0B"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1000</w:t>
            </w:r>
          </w:p>
        </w:tc>
        <w:tc>
          <w:tcPr>
            <w:tcW w:w="1276" w:type="dxa"/>
            <w:shd w:val="clear" w:color="auto" w:fill="auto"/>
            <w:noWrap/>
            <w:vAlign w:val="center"/>
            <w:hideMark/>
          </w:tcPr>
          <w:p w14:paraId="65870E91"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unidades</w:t>
            </w:r>
          </w:p>
        </w:tc>
        <w:tc>
          <w:tcPr>
            <w:tcW w:w="1176" w:type="dxa"/>
            <w:shd w:val="clear" w:color="auto" w:fill="auto"/>
            <w:noWrap/>
            <w:vAlign w:val="center"/>
            <w:hideMark/>
          </w:tcPr>
          <w:p w14:paraId="0946B0F6" w14:textId="7651719E"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5.000 </w:t>
            </w:r>
          </w:p>
        </w:tc>
        <w:tc>
          <w:tcPr>
            <w:tcW w:w="1278" w:type="dxa"/>
            <w:shd w:val="clear" w:color="auto" w:fill="auto"/>
            <w:noWrap/>
            <w:vAlign w:val="center"/>
            <w:hideMark/>
          </w:tcPr>
          <w:p w14:paraId="77FF9080" w14:textId="65C0FE5B"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$5.000 </w:t>
            </w:r>
          </w:p>
        </w:tc>
      </w:tr>
      <w:tr w:rsidR="00C2032A" w:rsidRPr="00A73608" w14:paraId="4C75682B" w14:textId="77777777" w:rsidTr="000A0B21">
        <w:trPr>
          <w:trHeight w:val="20"/>
        </w:trPr>
        <w:tc>
          <w:tcPr>
            <w:tcW w:w="1146" w:type="dxa"/>
            <w:vMerge/>
            <w:vAlign w:val="center"/>
            <w:hideMark/>
          </w:tcPr>
          <w:p w14:paraId="1034A1B2"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4E2BDA11"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I. Distribución de Afiches por municipio (anual)</w:t>
            </w:r>
          </w:p>
        </w:tc>
        <w:tc>
          <w:tcPr>
            <w:tcW w:w="850" w:type="dxa"/>
            <w:shd w:val="clear" w:color="auto" w:fill="auto"/>
            <w:noWrap/>
            <w:vAlign w:val="center"/>
            <w:hideMark/>
          </w:tcPr>
          <w:p w14:paraId="0359A50E"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500</w:t>
            </w:r>
          </w:p>
        </w:tc>
        <w:tc>
          <w:tcPr>
            <w:tcW w:w="1276" w:type="dxa"/>
            <w:shd w:val="clear" w:color="auto" w:fill="auto"/>
            <w:noWrap/>
            <w:vAlign w:val="center"/>
            <w:hideMark/>
          </w:tcPr>
          <w:p w14:paraId="211DCCA0" w14:textId="77777777" w:rsidR="00C2032A" w:rsidRPr="00A73608" w:rsidRDefault="00C2032A" w:rsidP="000A0B21">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unidades</w:t>
            </w:r>
          </w:p>
        </w:tc>
        <w:tc>
          <w:tcPr>
            <w:tcW w:w="1176" w:type="dxa"/>
            <w:shd w:val="clear" w:color="auto" w:fill="auto"/>
            <w:noWrap/>
            <w:vAlign w:val="center"/>
            <w:hideMark/>
          </w:tcPr>
          <w:p w14:paraId="0F3FD4FE" w14:textId="2D80A6AC"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15.000 </w:t>
            </w:r>
          </w:p>
        </w:tc>
        <w:tc>
          <w:tcPr>
            <w:tcW w:w="1278" w:type="dxa"/>
            <w:shd w:val="clear" w:color="auto" w:fill="auto"/>
            <w:noWrap/>
            <w:vAlign w:val="center"/>
            <w:hideMark/>
          </w:tcPr>
          <w:p w14:paraId="1EDAD6F6" w14:textId="37EAE571" w:rsidR="00C2032A" w:rsidRPr="00A73608" w:rsidRDefault="00C2032A" w:rsidP="001B5C00">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xml:space="preserve"> $ 7.500 </w:t>
            </w:r>
          </w:p>
        </w:tc>
      </w:tr>
      <w:tr w:rsidR="00C2032A" w:rsidRPr="00A73608" w14:paraId="5FDD0706" w14:textId="77777777" w:rsidTr="000A0B21">
        <w:trPr>
          <w:trHeight w:val="20"/>
        </w:trPr>
        <w:tc>
          <w:tcPr>
            <w:tcW w:w="1146" w:type="dxa"/>
            <w:vMerge/>
            <w:vAlign w:val="center"/>
            <w:hideMark/>
          </w:tcPr>
          <w:p w14:paraId="4F2A1A6E"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p>
        </w:tc>
        <w:tc>
          <w:tcPr>
            <w:tcW w:w="3102" w:type="dxa"/>
            <w:shd w:val="clear" w:color="auto" w:fill="auto"/>
            <w:noWrap/>
            <w:vAlign w:val="center"/>
            <w:hideMark/>
          </w:tcPr>
          <w:p w14:paraId="1D44BB84" w14:textId="59B3ACF1" w:rsidR="00C2032A" w:rsidRPr="00A73608" w:rsidRDefault="00C2032A" w:rsidP="00C2032A">
            <w:pPr>
              <w:spacing w:after="0" w:line="240" w:lineRule="auto"/>
              <w:contextualSpacing/>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1. Costos del servicio de extensión (A+B+C+D+E+F+G+H+I)</w:t>
            </w:r>
            <w:r w:rsidR="00CC06A0" w:rsidRPr="00A73608">
              <w:rPr>
                <w:rFonts w:asciiTheme="majorHAnsi" w:eastAsia="Times New Roman" w:hAnsiTheme="majorHAnsi" w:cs="Times New Roman"/>
                <w:b/>
                <w:bCs/>
                <w:color w:val="000000"/>
                <w:sz w:val="16"/>
                <w:szCs w:val="16"/>
                <w:lang w:eastAsia="es-CO"/>
              </w:rPr>
              <w:t xml:space="preserve"> por UF</w:t>
            </w:r>
          </w:p>
        </w:tc>
        <w:tc>
          <w:tcPr>
            <w:tcW w:w="850" w:type="dxa"/>
            <w:shd w:val="clear" w:color="auto" w:fill="auto"/>
            <w:noWrap/>
            <w:vAlign w:val="center"/>
            <w:hideMark/>
          </w:tcPr>
          <w:p w14:paraId="70DA6A5A" w14:textId="77777777" w:rsidR="00C2032A" w:rsidRPr="00A73608" w:rsidRDefault="00C2032A" w:rsidP="00C2032A">
            <w:pPr>
              <w:spacing w:after="0" w:line="240" w:lineRule="auto"/>
              <w:contextualSpacing/>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6" w:type="dxa"/>
            <w:shd w:val="clear" w:color="auto" w:fill="auto"/>
            <w:noWrap/>
            <w:vAlign w:val="center"/>
            <w:hideMark/>
          </w:tcPr>
          <w:p w14:paraId="062EEFC4" w14:textId="77777777" w:rsidR="00C2032A" w:rsidRPr="00A73608" w:rsidRDefault="00C2032A" w:rsidP="00C2032A">
            <w:pPr>
              <w:spacing w:after="0" w:line="240" w:lineRule="auto"/>
              <w:contextualSpacing/>
              <w:jc w:val="center"/>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176" w:type="dxa"/>
            <w:shd w:val="clear" w:color="auto" w:fill="auto"/>
            <w:noWrap/>
            <w:vAlign w:val="center"/>
            <w:hideMark/>
          </w:tcPr>
          <w:p w14:paraId="51B0E96D" w14:textId="77777777" w:rsidR="00C2032A" w:rsidRPr="00A73608" w:rsidRDefault="00C2032A" w:rsidP="00C2032A">
            <w:pPr>
              <w:spacing w:after="0" w:line="240" w:lineRule="auto"/>
              <w:contextualSpacing/>
              <w:jc w:val="right"/>
              <w:rPr>
                <w:rFonts w:asciiTheme="majorHAnsi" w:eastAsia="Times New Roman" w:hAnsiTheme="majorHAnsi" w:cs="Times New Roman"/>
                <w:color w:val="000000"/>
                <w:sz w:val="16"/>
                <w:szCs w:val="16"/>
                <w:lang w:eastAsia="es-CO"/>
              </w:rPr>
            </w:pPr>
            <w:r w:rsidRPr="00A73608">
              <w:rPr>
                <w:rFonts w:asciiTheme="majorHAnsi" w:eastAsia="Times New Roman" w:hAnsiTheme="majorHAnsi" w:cs="Times New Roman"/>
                <w:color w:val="000000"/>
                <w:sz w:val="16"/>
                <w:szCs w:val="16"/>
                <w:lang w:eastAsia="es-CO"/>
              </w:rPr>
              <w:t> </w:t>
            </w:r>
          </w:p>
        </w:tc>
        <w:tc>
          <w:tcPr>
            <w:tcW w:w="1278" w:type="dxa"/>
            <w:shd w:val="clear" w:color="000000" w:fill="FFE699"/>
            <w:noWrap/>
            <w:vAlign w:val="center"/>
            <w:hideMark/>
          </w:tcPr>
          <w:p w14:paraId="0AF7CF6C" w14:textId="3B86DA18" w:rsidR="00C2032A" w:rsidRPr="00A73608" w:rsidRDefault="00C2032A" w:rsidP="00C2032A">
            <w:pPr>
              <w:spacing w:after="0" w:line="240" w:lineRule="auto"/>
              <w:contextualSpacing/>
              <w:jc w:val="right"/>
              <w:rPr>
                <w:rFonts w:asciiTheme="majorHAnsi" w:eastAsia="Times New Roman" w:hAnsiTheme="majorHAnsi" w:cs="Times New Roman"/>
                <w:b/>
                <w:bCs/>
                <w:color w:val="000000"/>
                <w:sz w:val="16"/>
                <w:szCs w:val="16"/>
                <w:lang w:eastAsia="es-CO"/>
              </w:rPr>
            </w:pPr>
            <w:r w:rsidRPr="00A73608">
              <w:rPr>
                <w:rFonts w:asciiTheme="majorHAnsi" w:eastAsia="Times New Roman" w:hAnsiTheme="majorHAnsi" w:cs="Times New Roman"/>
                <w:b/>
                <w:bCs/>
                <w:color w:val="000000"/>
                <w:sz w:val="16"/>
                <w:szCs w:val="16"/>
                <w:lang w:eastAsia="es-CO"/>
              </w:rPr>
              <w:t xml:space="preserve"> $ 681.960 </w:t>
            </w:r>
          </w:p>
        </w:tc>
      </w:tr>
    </w:tbl>
    <w:p w14:paraId="1CB9DB33" w14:textId="77777777" w:rsidR="005936CD" w:rsidRPr="007D40F5" w:rsidRDefault="005936CD" w:rsidP="005936CD">
      <w:pPr>
        <w:jc w:val="both"/>
        <w:rPr>
          <w:rFonts w:asciiTheme="majorHAnsi" w:hAnsiTheme="majorHAnsi"/>
          <w:sz w:val="10"/>
        </w:rPr>
      </w:pPr>
    </w:p>
    <w:p w14:paraId="2341BED3" w14:textId="6B7D458D" w:rsidR="005936CD" w:rsidRDefault="00982098" w:rsidP="003C07F1">
      <w:pPr>
        <w:pStyle w:val="Sinespaciado"/>
        <w:jc w:val="both"/>
        <w:rPr>
          <w:rFonts w:asciiTheme="majorHAnsi" w:hAnsiTheme="majorHAnsi"/>
          <w:lang w:val="es-ES"/>
        </w:rPr>
      </w:pPr>
      <w:r>
        <w:rPr>
          <w:rFonts w:asciiTheme="majorHAnsi" w:hAnsiTheme="majorHAnsi"/>
          <w:lang w:val="es-ES"/>
        </w:rPr>
        <w:t>Con este ejercicio, los costos del</w:t>
      </w:r>
      <w:r w:rsidR="00CC06A0" w:rsidRPr="00A73608">
        <w:rPr>
          <w:rFonts w:asciiTheme="majorHAnsi" w:hAnsiTheme="majorHAnsi"/>
          <w:lang w:val="es-ES"/>
        </w:rPr>
        <w:t xml:space="preserve"> servicio de extensión agropecuaria por UF, oscilan alrededor </w:t>
      </w:r>
      <w:r w:rsidR="00626112" w:rsidRPr="00A73608">
        <w:rPr>
          <w:rFonts w:asciiTheme="majorHAnsi" w:hAnsiTheme="majorHAnsi"/>
          <w:lang w:val="es-ES"/>
        </w:rPr>
        <w:t xml:space="preserve">de los $700.000 pesos por año, sin embargo, considerando que gran parte de las UF están ubicadas en </w:t>
      </w:r>
      <w:r w:rsidR="00485762" w:rsidRPr="00A73608">
        <w:rPr>
          <w:rFonts w:asciiTheme="majorHAnsi" w:hAnsiTheme="majorHAnsi"/>
          <w:lang w:val="es-ES"/>
        </w:rPr>
        <w:t xml:space="preserve">zona rural dispersa, se toma como valor de cálculo para la prestación del servicio para cada UF de </w:t>
      </w:r>
      <w:r w:rsidR="00485762" w:rsidRPr="00A73608">
        <w:rPr>
          <w:rFonts w:asciiTheme="majorHAnsi" w:hAnsiTheme="majorHAnsi"/>
          <w:b/>
          <w:u w:val="single"/>
          <w:lang w:val="es-ES"/>
        </w:rPr>
        <w:t>$750.000</w:t>
      </w:r>
      <w:r w:rsidR="00485762" w:rsidRPr="00A73608">
        <w:rPr>
          <w:rFonts w:asciiTheme="majorHAnsi" w:hAnsiTheme="majorHAnsi"/>
          <w:lang w:val="es-ES"/>
        </w:rPr>
        <w:t xml:space="preserve"> pesos por año. </w:t>
      </w:r>
    </w:p>
    <w:p w14:paraId="50E4D716" w14:textId="77777777" w:rsidR="00E50723" w:rsidRDefault="00E50723" w:rsidP="003C07F1">
      <w:pPr>
        <w:pStyle w:val="Sinespaciado"/>
        <w:jc w:val="both"/>
        <w:rPr>
          <w:rFonts w:asciiTheme="majorHAnsi" w:hAnsiTheme="majorHAnsi"/>
          <w:lang w:val="es-ES"/>
        </w:rPr>
      </w:pPr>
    </w:p>
    <w:p w14:paraId="761C4B51" w14:textId="396B9D94" w:rsidR="00E50723" w:rsidRPr="00A73608" w:rsidRDefault="00E50723" w:rsidP="00EA162D">
      <w:pPr>
        <w:pStyle w:val="Sinespaciado"/>
        <w:numPr>
          <w:ilvl w:val="0"/>
          <w:numId w:val="18"/>
        </w:numPr>
        <w:jc w:val="both"/>
        <w:rPr>
          <w:rFonts w:asciiTheme="majorHAnsi" w:hAnsiTheme="majorHAnsi"/>
          <w:lang w:val="es-ES"/>
        </w:rPr>
      </w:pPr>
      <w:r>
        <w:rPr>
          <w:rFonts w:asciiTheme="majorHAnsi" w:hAnsiTheme="majorHAnsi"/>
          <w:b/>
          <w:lang w:val="es-ES"/>
        </w:rPr>
        <w:t>Priorización para la ejecución del presupuesto</w:t>
      </w:r>
    </w:p>
    <w:p w14:paraId="4BCCA7F7" w14:textId="77777777" w:rsidR="00CC06A0" w:rsidRPr="007D40F5" w:rsidRDefault="00CC06A0" w:rsidP="00CC06A0">
      <w:pPr>
        <w:pStyle w:val="Sinespaciado"/>
        <w:jc w:val="both"/>
        <w:rPr>
          <w:rFonts w:asciiTheme="majorHAnsi" w:hAnsiTheme="majorHAnsi"/>
          <w:sz w:val="10"/>
          <w:lang w:val="es-ES"/>
        </w:rPr>
      </w:pPr>
    </w:p>
    <w:p w14:paraId="6F6D2870" w14:textId="7B159E30" w:rsidR="00603AA5" w:rsidRDefault="00E50723" w:rsidP="00CC06A0">
      <w:pPr>
        <w:pStyle w:val="Sinespaciado"/>
        <w:jc w:val="both"/>
        <w:rPr>
          <w:rFonts w:asciiTheme="majorHAnsi" w:hAnsiTheme="majorHAnsi"/>
          <w:lang w:val="es-ES"/>
        </w:rPr>
      </w:pPr>
      <w:r>
        <w:rPr>
          <w:rFonts w:asciiTheme="majorHAnsi" w:hAnsiTheme="majorHAnsi"/>
          <w:lang w:val="es-ES"/>
        </w:rPr>
        <w:t>Dado el proceso de implementación del reciente servicio de extensi</w:t>
      </w:r>
      <w:r w:rsidR="004D5AAE">
        <w:rPr>
          <w:rFonts w:asciiTheme="majorHAnsi" w:hAnsiTheme="majorHAnsi"/>
          <w:lang w:val="es-ES"/>
        </w:rPr>
        <w:t>ón en el marco del SNIA</w:t>
      </w:r>
      <w:r>
        <w:rPr>
          <w:rFonts w:asciiTheme="majorHAnsi" w:hAnsiTheme="majorHAnsi"/>
          <w:lang w:val="es-ES"/>
        </w:rPr>
        <w:t xml:space="preserve"> y de las restricciones de orden f</w:t>
      </w:r>
      <w:r w:rsidR="00CC06A0" w:rsidRPr="00A73608">
        <w:rPr>
          <w:rFonts w:asciiTheme="majorHAnsi" w:hAnsiTheme="majorHAnsi"/>
          <w:lang w:val="es-ES"/>
        </w:rPr>
        <w:t>iscales</w:t>
      </w:r>
      <w:r w:rsidR="00603AA5">
        <w:rPr>
          <w:rFonts w:asciiTheme="majorHAnsi" w:hAnsiTheme="majorHAnsi"/>
          <w:lang w:val="es-ES"/>
        </w:rPr>
        <w:t>,</w:t>
      </w:r>
      <w:r w:rsidR="00CC06A0" w:rsidRPr="00A73608">
        <w:rPr>
          <w:rFonts w:asciiTheme="majorHAnsi" w:hAnsiTheme="majorHAnsi"/>
          <w:lang w:val="es-ES"/>
        </w:rPr>
        <w:t xml:space="preserve"> la cobertura se debe hacer de manera gradual, priorizando</w:t>
      </w:r>
      <w:r>
        <w:rPr>
          <w:rFonts w:asciiTheme="majorHAnsi" w:hAnsiTheme="majorHAnsi"/>
          <w:lang w:val="es-ES"/>
        </w:rPr>
        <w:t xml:space="preserve"> la asignación de recursos</w:t>
      </w:r>
      <w:r w:rsidR="00603AA5">
        <w:rPr>
          <w:rFonts w:asciiTheme="majorHAnsi" w:hAnsiTheme="majorHAnsi"/>
          <w:lang w:val="es-ES"/>
        </w:rPr>
        <w:t xml:space="preserve"> durante los primeros 5 años del horizonte del plan,</w:t>
      </w:r>
      <w:r>
        <w:rPr>
          <w:rFonts w:asciiTheme="majorHAnsi" w:hAnsiTheme="majorHAnsi"/>
          <w:lang w:val="es-ES"/>
        </w:rPr>
        <w:t xml:space="preserve"> en los </w:t>
      </w:r>
      <w:r w:rsidR="00CC06A0" w:rsidRPr="00A73608">
        <w:rPr>
          <w:rFonts w:asciiTheme="majorHAnsi" w:hAnsiTheme="majorHAnsi"/>
          <w:lang w:val="es-ES"/>
        </w:rPr>
        <w:t>municipios PDET</w:t>
      </w:r>
      <w:r>
        <w:rPr>
          <w:rFonts w:asciiTheme="majorHAnsi" w:hAnsiTheme="majorHAnsi"/>
          <w:lang w:val="es-ES"/>
        </w:rPr>
        <w:t xml:space="preserve"> que cuenten con PDEA formulado</w:t>
      </w:r>
      <w:r w:rsidR="00CB062D">
        <w:rPr>
          <w:rFonts w:asciiTheme="majorHAnsi" w:hAnsiTheme="majorHAnsi"/>
          <w:lang w:val="es-ES"/>
        </w:rPr>
        <w:t xml:space="preserve"> y registro y caracterización de usuarios </w:t>
      </w:r>
      <w:r>
        <w:rPr>
          <w:rFonts w:asciiTheme="majorHAnsi" w:hAnsiTheme="majorHAnsi"/>
          <w:lang w:val="es-ES"/>
        </w:rPr>
        <w:t xml:space="preserve">de extensión agropecuaria. </w:t>
      </w:r>
    </w:p>
    <w:p w14:paraId="4AA1AC20" w14:textId="77777777" w:rsidR="00603AA5" w:rsidRPr="007D40F5" w:rsidRDefault="00603AA5" w:rsidP="00CC06A0">
      <w:pPr>
        <w:pStyle w:val="Sinespaciado"/>
        <w:jc w:val="both"/>
        <w:rPr>
          <w:rFonts w:asciiTheme="majorHAnsi" w:hAnsiTheme="majorHAnsi"/>
          <w:sz w:val="14"/>
          <w:lang w:val="es-ES"/>
        </w:rPr>
      </w:pPr>
    </w:p>
    <w:p w14:paraId="172A9929" w14:textId="06874CAA" w:rsidR="00CC06A0" w:rsidRPr="00C00B14" w:rsidRDefault="00C00B14" w:rsidP="00EA162D">
      <w:pPr>
        <w:pStyle w:val="Sinespaciado"/>
        <w:numPr>
          <w:ilvl w:val="0"/>
          <w:numId w:val="18"/>
        </w:numPr>
        <w:jc w:val="both"/>
        <w:rPr>
          <w:rFonts w:asciiTheme="majorHAnsi" w:hAnsiTheme="majorHAnsi"/>
          <w:lang w:val="es-ES"/>
        </w:rPr>
      </w:pPr>
      <w:r>
        <w:rPr>
          <w:rFonts w:asciiTheme="majorHAnsi" w:hAnsiTheme="majorHAnsi"/>
          <w:b/>
          <w:lang w:val="es-ES"/>
        </w:rPr>
        <w:t>Cálculo de la prestación del servicio en función del presupuesto</w:t>
      </w:r>
    </w:p>
    <w:p w14:paraId="7C8B4948" w14:textId="77777777" w:rsidR="00C00B14" w:rsidRPr="007D40F5" w:rsidRDefault="00C00B14" w:rsidP="00C00B14">
      <w:pPr>
        <w:pStyle w:val="Sinespaciado"/>
        <w:jc w:val="both"/>
        <w:rPr>
          <w:rFonts w:asciiTheme="majorHAnsi" w:hAnsiTheme="majorHAnsi"/>
          <w:b/>
          <w:sz w:val="16"/>
          <w:lang w:val="es-ES"/>
        </w:rPr>
      </w:pPr>
    </w:p>
    <w:p w14:paraId="475F61A3" w14:textId="449DEE77" w:rsidR="00C00B14" w:rsidRDefault="00C00B14" w:rsidP="00C00B14">
      <w:pPr>
        <w:pStyle w:val="Sinespaciado"/>
        <w:jc w:val="both"/>
        <w:rPr>
          <w:rFonts w:asciiTheme="majorHAnsi" w:hAnsiTheme="majorHAnsi"/>
          <w:lang w:val="es-ES"/>
        </w:rPr>
      </w:pPr>
      <w:r>
        <w:rPr>
          <w:rFonts w:asciiTheme="majorHAnsi" w:hAnsiTheme="majorHAnsi"/>
          <w:lang w:val="es-ES"/>
        </w:rPr>
        <w:t xml:space="preserve">Para realizar este cálculo es necesario considerar los siguientes </w:t>
      </w:r>
      <w:r w:rsidR="00BB4F5C">
        <w:rPr>
          <w:rFonts w:asciiTheme="majorHAnsi" w:hAnsiTheme="majorHAnsi"/>
          <w:lang w:val="es-ES"/>
        </w:rPr>
        <w:t>datos</w:t>
      </w:r>
      <w:r>
        <w:rPr>
          <w:rFonts w:asciiTheme="majorHAnsi" w:hAnsiTheme="majorHAnsi"/>
          <w:lang w:val="es-ES"/>
        </w:rPr>
        <w:t>:</w:t>
      </w:r>
    </w:p>
    <w:p w14:paraId="0D5EC943" w14:textId="77777777" w:rsidR="00BB4F5C" w:rsidRPr="007D40F5" w:rsidRDefault="00BB4F5C" w:rsidP="00C00B14">
      <w:pPr>
        <w:pStyle w:val="Sinespaciado"/>
        <w:jc w:val="both"/>
        <w:rPr>
          <w:rFonts w:asciiTheme="majorHAnsi" w:hAnsiTheme="majorHAnsi"/>
          <w:sz w:val="10"/>
          <w:lang w:val="es-ES"/>
        </w:rPr>
      </w:pPr>
    </w:p>
    <w:p w14:paraId="31A8467A" w14:textId="7EE1D9F0" w:rsidR="00010069" w:rsidRDefault="00C00B14" w:rsidP="00EA162D">
      <w:pPr>
        <w:pStyle w:val="Sinespaciado"/>
        <w:numPr>
          <w:ilvl w:val="0"/>
          <w:numId w:val="23"/>
        </w:numPr>
        <w:jc w:val="both"/>
        <w:rPr>
          <w:rFonts w:asciiTheme="majorHAnsi" w:hAnsiTheme="majorHAnsi"/>
          <w:lang w:val="es-ES"/>
        </w:rPr>
      </w:pPr>
      <w:r>
        <w:rPr>
          <w:rFonts w:asciiTheme="majorHAnsi" w:hAnsiTheme="majorHAnsi"/>
          <w:lang w:val="es-ES"/>
        </w:rPr>
        <w:t xml:space="preserve">La población objetivo del presente plan, </w:t>
      </w:r>
      <w:r w:rsidR="00010069">
        <w:rPr>
          <w:rFonts w:asciiTheme="majorHAnsi" w:hAnsiTheme="majorHAnsi"/>
          <w:lang w:val="es-ES"/>
        </w:rPr>
        <w:t xml:space="preserve">es de </w:t>
      </w:r>
      <w:r w:rsidRPr="00785E31">
        <w:rPr>
          <w:rFonts w:asciiTheme="majorHAnsi" w:hAnsiTheme="majorHAnsi"/>
          <w:b/>
          <w:lang w:val="es-ES"/>
        </w:rPr>
        <w:t>181.295 UF</w:t>
      </w:r>
      <w:r w:rsidRPr="00C00B14">
        <w:rPr>
          <w:rFonts w:asciiTheme="majorHAnsi" w:hAnsiTheme="majorHAnsi"/>
          <w:lang w:val="es-ES"/>
        </w:rPr>
        <w:t xml:space="preserve"> de la ACFC ubicadas en los</w:t>
      </w:r>
      <w:r>
        <w:rPr>
          <w:rFonts w:asciiTheme="majorHAnsi" w:hAnsiTheme="majorHAnsi"/>
          <w:lang w:val="es-ES"/>
        </w:rPr>
        <w:t xml:space="preserve"> municipios PDET, </w:t>
      </w:r>
      <w:r w:rsidR="00010069">
        <w:rPr>
          <w:rFonts w:asciiTheme="majorHAnsi" w:hAnsiTheme="majorHAnsi"/>
          <w:lang w:val="es-ES"/>
        </w:rPr>
        <w:t xml:space="preserve">y de un total de </w:t>
      </w:r>
      <w:r w:rsidR="00010069" w:rsidRPr="00010069">
        <w:rPr>
          <w:rFonts w:asciiTheme="majorHAnsi" w:hAnsiTheme="majorHAnsi"/>
          <w:b/>
          <w:lang w:val="es-ES"/>
        </w:rPr>
        <w:t>690.250 UF</w:t>
      </w:r>
      <w:r w:rsidR="00010069">
        <w:rPr>
          <w:rFonts w:asciiTheme="majorHAnsi" w:hAnsiTheme="majorHAnsi"/>
          <w:lang w:val="es-ES"/>
        </w:rPr>
        <w:t xml:space="preserve"> para el resto del país, para un total a nivel nacional de </w:t>
      </w:r>
      <w:r w:rsidR="00010069" w:rsidRPr="00010069">
        <w:rPr>
          <w:rFonts w:asciiTheme="majorHAnsi" w:hAnsiTheme="majorHAnsi"/>
          <w:b/>
          <w:lang w:val="es-ES"/>
        </w:rPr>
        <w:t>871.545 UF.</w:t>
      </w:r>
    </w:p>
    <w:p w14:paraId="61265D6B" w14:textId="67FD2428" w:rsidR="00C00B14" w:rsidRDefault="00C00B14" w:rsidP="00EA162D">
      <w:pPr>
        <w:pStyle w:val="Sinespaciado"/>
        <w:numPr>
          <w:ilvl w:val="0"/>
          <w:numId w:val="23"/>
        </w:numPr>
        <w:jc w:val="both"/>
        <w:rPr>
          <w:rFonts w:asciiTheme="majorHAnsi" w:hAnsiTheme="majorHAnsi"/>
          <w:lang w:val="es-ES"/>
        </w:rPr>
      </w:pPr>
      <w:r w:rsidRPr="00C00B14">
        <w:rPr>
          <w:rFonts w:asciiTheme="majorHAnsi" w:hAnsiTheme="majorHAnsi"/>
          <w:lang w:val="es-ES"/>
        </w:rPr>
        <w:t xml:space="preserve">El costo de la prestación del servicio </w:t>
      </w:r>
      <w:r>
        <w:rPr>
          <w:rFonts w:asciiTheme="majorHAnsi" w:hAnsiTheme="majorHAnsi"/>
          <w:lang w:val="es-ES"/>
        </w:rPr>
        <w:t>de extensión agropecuaria por</w:t>
      </w:r>
      <w:r w:rsidRPr="00C00B14">
        <w:rPr>
          <w:rFonts w:asciiTheme="majorHAnsi" w:hAnsiTheme="majorHAnsi"/>
          <w:lang w:val="es-ES"/>
        </w:rPr>
        <w:t xml:space="preserve"> UF </w:t>
      </w:r>
      <w:r>
        <w:rPr>
          <w:rFonts w:asciiTheme="majorHAnsi" w:hAnsiTheme="majorHAnsi"/>
          <w:lang w:val="es-ES"/>
        </w:rPr>
        <w:t xml:space="preserve">es </w:t>
      </w:r>
      <w:r w:rsidRPr="00C00B14">
        <w:rPr>
          <w:rFonts w:asciiTheme="majorHAnsi" w:hAnsiTheme="majorHAnsi"/>
          <w:lang w:val="es-ES"/>
        </w:rPr>
        <w:t xml:space="preserve">de </w:t>
      </w:r>
      <w:r w:rsidRPr="00785E31">
        <w:rPr>
          <w:rFonts w:asciiTheme="majorHAnsi" w:hAnsiTheme="majorHAnsi"/>
          <w:b/>
          <w:lang w:val="es-ES"/>
        </w:rPr>
        <w:t>$750.000</w:t>
      </w:r>
      <w:r w:rsidRPr="00785E31">
        <w:rPr>
          <w:rFonts w:asciiTheme="majorHAnsi" w:hAnsiTheme="majorHAnsi"/>
          <w:lang w:val="es-ES"/>
        </w:rPr>
        <w:t xml:space="preserve"> pesos</w:t>
      </w:r>
      <w:r>
        <w:rPr>
          <w:rFonts w:asciiTheme="majorHAnsi" w:hAnsiTheme="majorHAnsi"/>
          <w:lang w:val="es-ES"/>
        </w:rPr>
        <w:t xml:space="preserve"> por año aproximadamente.</w:t>
      </w:r>
    </w:p>
    <w:p w14:paraId="733C3654" w14:textId="3363EFBD" w:rsidR="00C00B14" w:rsidRPr="00C00B14" w:rsidRDefault="00836F4D" w:rsidP="00EA162D">
      <w:pPr>
        <w:pStyle w:val="Sinespaciado"/>
        <w:numPr>
          <w:ilvl w:val="0"/>
          <w:numId w:val="23"/>
        </w:numPr>
        <w:jc w:val="both"/>
        <w:rPr>
          <w:rFonts w:asciiTheme="majorHAnsi" w:hAnsiTheme="majorHAnsi"/>
          <w:lang w:val="es-ES"/>
        </w:rPr>
      </w:pPr>
      <w:r>
        <w:rPr>
          <w:rFonts w:asciiTheme="majorHAnsi" w:hAnsiTheme="majorHAnsi"/>
          <w:lang w:val="es-ES"/>
        </w:rPr>
        <w:t xml:space="preserve">La cifra de UF a ser atendidas </w:t>
      </w:r>
      <w:r w:rsidRPr="00836F4D">
        <w:rPr>
          <w:rFonts w:asciiTheme="majorHAnsi" w:hAnsiTheme="majorHAnsi"/>
          <w:b/>
          <w:lang w:val="es-ES"/>
        </w:rPr>
        <w:t>es acumulada</w:t>
      </w:r>
      <w:r>
        <w:rPr>
          <w:rFonts w:asciiTheme="majorHAnsi" w:hAnsiTheme="majorHAnsi"/>
          <w:lang w:val="es-ES"/>
        </w:rPr>
        <w:t xml:space="preserve">, considerando que los productores deben ser atendidos al menos cuatro (4) años en el marco de los PDEA y en función de la gradualidad. </w:t>
      </w:r>
    </w:p>
    <w:p w14:paraId="375534DF" w14:textId="77777777" w:rsidR="00603AA5" w:rsidRPr="00A73608" w:rsidRDefault="00603AA5" w:rsidP="00CC06A0">
      <w:pPr>
        <w:pStyle w:val="Sinespaciado"/>
        <w:jc w:val="both"/>
        <w:rPr>
          <w:rFonts w:asciiTheme="majorHAnsi" w:hAnsiTheme="majorHAnsi"/>
          <w:lang w:val="es-ES"/>
        </w:rPr>
      </w:pPr>
    </w:p>
    <w:p w14:paraId="71775F70" w14:textId="77777777" w:rsidR="00BE379B" w:rsidRDefault="0092188F" w:rsidP="00CC06A0">
      <w:pPr>
        <w:pStyle w:val="Sinespaciado"/>
        <w:jc w:val="both"/>
        <w:rPr>
          <w:rFonts w:asciiTheme="majorHAnsi" w:hAnsiTheme="majorHAnsi"/>
          <w:lang w:val="es-ES"/>
        </w:rPr>
      </w:pPr>
      <w:r>
        <w:rPr>
          <w:rFonts w:asciiTheme="majorHAnsi" w:hAnsiTheme="majorHAnsi"/>
          <w:lang w:val="es-ES"/>
        </w:rPr>
        <w:t xml:space="preserve">En </w:t>
      </w:r>
      <w:r w:rsidR="007854CF">
        <w:rPr>
          <w:rFonts w:asciiTheme="majorHAnsi" w:hAnsiTheme="majorHAnsi"/>
          <w:lang w:val="es-ES"/>
        </w:rPr>
        <w:t>la siguiente tabla, se presenta el presupuesto proyectado para la ejecución del Plan AT con las cifras priorizadas para la atención de los PDET en los primeros 5 años:</w:t>
      </w:r>
    </w:p>
    <w:p w14:paraId="79148101" w14:textId="77777777" w:rsidR="00BE379B" w:rsidRDefault="00BE379B" w:rsidP="00CC06A0">
      <w:pPr>
        <w:pStyle w:val="Sinespaciado"/>
        <w:jc w:val="both"/>
        <w:rPr>
          <w:rFonts w:asciiTheme="majorHAnsi" w:hAnsiTheme="majorHAnsi"/>
          <w:lang w:val="es-ES"/>
        </w:rPr>
      </w:pPr>
    </w:p>
    <w:p w14:paraId="4B8B936E" w14:textId="77777777" w:rsidR="00E377EA" w:rsidRDefault="00E377EA" w:rsidP="00CC06A0">
      <w:pPr>
        <w:pStyle w:val="Sinespaciado"/>
        <w:jc w:val="both"/>
        <w:rPr>
          <w:rFonts w:asciiTheme="majorHAnsi" w:hAnsiTheme="majorHAnsi"/>
          <w:lang w:val="es-ES"/>
        </w:rPr>
        <w:sectPr w:rsidR="00E377EA" w:rsidSect="009E555B">
          <w:pgSz w:w="12240" w:h="15840"/>
          <w:pgMar w:top="1418" w:right="1701" w:bottom="1418" w:left="1701" w:header="709" w:footer="709" w:gutter="0"/>
          <w:cols w:space="708"/>
          <w:docGrid w:linePitch="360"/>
        </w:sectPr>
      </w:pPr>
    </w:p>
    <w:p w14:paraId="245513DB" w14:textId="3AC990EA" w:rsidR="00E377EA" w:rsidRDefault="00BE379B" w:rsidP="00E377EA">
      <w:pPr>
        <w:pStyle w:val="Sinespaciado"/>
        <w:jc w:val="center"/>
        <w:rPr>
          <w:rFonts w:asciiTheme="majorHAnsi" w:hAnsiTheme="majorHAnsi"/>
          <w:lang w:val="es-ES"/>
        </w:rPr>
      </w:pPr>
      <w:r w:rsidRPr="00E377EA">
        <w:rPr>
          <w:rFonts w:asciiTheme="majorHAnsi" w:hAnsiTheme="majorHAnsi"/>
          <w:b/>
          <w:lang w:val="es-ES"/>
        </w:rPr>
        <w:lastRenderedPageBreak/>
        <w:t>Tabla 11.</w:t>
      </w:r>
      <w:r>
        <w:rPr>
          <w:rFonts w:asciiTheme="majorHAnsi" w:hAnsiTheme="majorHAnsi"/>
          <w:lang w:val="es-ES"/>
        </w:rPr>
        <w:t xml:space="preserve"> </w:t>
      </w:r>
      <w:r w:rsidR="0092188F">
        <w:rPr>
          <w:rFonts w:asciiTheme="majorHAnsi" w:hAnsiTheme="majorHAnsi"/>
          <w:lang w:val="es-ES"/>
        </w:rPr>
        <w:t xml:space="preserve"> </w:t>
      </w:r>
      <w:r w:rsidR="00E377EA">
        <w:rPr>
          <w:rFonts w:asciiTheme="majorHAnsi" w:hAnsiTheme="majorHAnsi"/>
          <w:lang w:val="es-ES"/>
        </w:rPr>
        <w:t>Presupuesto para la prestación del servicio de extensión agropecuaria en el marco del Plan AT</w:t>
      </w:r>
    </w:p>
    <w:p w14:paraId="4C68EBBF" w14:textId="534315BC" w:rsidR="00CC06A0" w:rsidRDefault="00E377EA" w:rsidP="00E377EA">
      <w:pPr>
        <w:pStyle w:val="Sinespaciado"/>
        <w:jc w:val="center"/>
        <w:rPr>
          <w:rFonts w:asciiTheme="majorHAnsi" w:hAnsiTheme="majorHAnsi"/>
          <w:lang w:val="es-ES"/>
        </w:rPr>
      </w:pPr>
      <w:r>
        <w:rPr>
          <w:rFonts w:asciiTheme="majorHAnsi" w:hAnsiTheme="majorHAnsi"/>
          <w:lang w:val="es-ES"/>
        </w:rPr>
        <w:t>(Información proyectada vs. Priorización para ejecución con plan AT)</w:t>
      </w:r>
    </w:p>
    <w:p w14:paraId="3AEDEE85" w14:textId="77777777" w:rsidR="002D09FD" w:rsidRDefault="002D09FD" w:rsidP="00CC06A0">
      <w:pPr>
        <w:pStyle w:val="Sinespaciado"/>
        <w:jc w:val="both"/>
        <w:rPr>
          <w:rFonts w:asciiTheme="majorHAnsi" w:hAnsiTheme="majorHAnsi"/>
          <w:lang w:val="es-ES"/>
        </w:rPr>
      </w:pPr>
    </w:p>
    <w:p w14:paraId="54E44AAB" w14:textId="77777777" w:rsidR="002D09FD" w:rsidRDefault="002D09FD" w:rsidP="00CC06A0">
      <w:pPr>
        <w:pStyle w:val="Sinespaciado"/>
        <w:jc w:val="both"/>
        <w:rPr>
          <w:rFonts w:asciiTheme="majorHAnsi" w:hAnsiTheme="majorHAnsi"/>
          <w:lang w:val="es-ES"/>
        </w:rPr>
      </w:pPr>
    </w:p>
    <w:tbl>
      <w:tblPr>
        <w:tblStyle w:val="Tabladecuadrcula1clara-nfasis11"/>
        <w:tblW w:w="0" w:type="auto"/>
        <w:tblLook w:val="04A0" w:firstRow="1" w:lastRow="0" w:firstColumn="1" w:lastColumn="0" w:noHBand="0" w:noVBand="1"/>
      </w:tblPr>
      <w:tblGrid>
        <w:gridCol w:w="2397"/>
        <w:gridCol w:w="1171"/>
        <w:gridCol w:w="1171"/>
        <w:gridCol w:w="1242"/>
        <w:gridCol w:w="1242"/>
        <w:gridCol w:w="1278"/>
        <w:gridCol w:w="1243"/>
        <w:gridCol w:w="1902"/>
        <w:gridCol w:w="1348"/>
      </w:tblGrid>
      <w:tr w:rsidR="00E377EA" w:rsidRPr="00E377EA" w14:paraId="1570E409" w14:textId="77777777" w:rsidTr="007F118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8"/>
            <w:noWrap/>
            <w:vAlign w:val="center"/>
            <w:hideMark/>
          </w:tcPr>
          <w:p w14:paraId="20B1E133" w14:textId="77777777" w:rsidR="00E377EA" w:rsidRDefault="00E377EA" w:rsidP="00E377EA">
            <w:pPr>
              <w:jc w:val="center"/>
              <w:rPr>
                <w:rFonts w:asciiTheme="majorHAnsi" w:eastAsia="Times New Roman" w:hAnsiTheme="majorHAnsi" w:cs="Times New Roman"/>
                <w:sz w:val="18"/>
                <w:lang w:eastAsia="es-CO"/>
              </w:rPr>
            </w:pPr>
            <w:r w:rsidRPr="00E377EA">
              <w:rPr>
                <w:rFonts w:asciiTheme="majorHAnsi" w:eastAsia="Times New Roman" w:hAnsiTheme="majorHAnsi" w:cs="Times New Roman"/>
                <w:color w:val="000000"/>
                <w:sz w:val="18"/>
                <w:lang w:eastAsia="es-CO"/>
              </w:rPr>
              <w:t xml:space="preserve">PRESUPUESTO DEL PLAN </w:t>
            </w:r>
            <w:r w:rsidRPr="00E377EA">
              <w:rPr>
                <w:rFonts w:asciiTheme="majorHAnsi" w:eastAsia="Times New Roman" w:hAnsiTheme="majorHAnsi" w:cs="Times New Roman"/>
                <w:sz w:val="18"/>
                <w:lang w:eastAsia="es-CO"/>
              </w:rPr>
              <w:t xml:space="preserve">AT </w:t>
            </w:r>
          </w:p>
          <w:p w14:paraId="06B0ED72" w14:textId="6AC5AF20" w:rsidR="00E377EA" w:rsidRPr="00E377EA" w:rsidRDefault="00E377EA" w:rsidP="00E377EA">
            <w:pPr>
              <w:jc w:val="center"/>
              <w:rPr>
                <w:rFonts w:asciiTheme="majorHAnsi" w:eastAsia="Times New Roman" w:hAnsiTheme="majorHAnsi" w:cs="Times New Roman"/>
                <w:b w:val="0"/>
                <w:color w:val="000000"/>
                <w:sz w:val="18"/>
                <w:lang w:eastAsia="es-CO"/>
              </w:rPr>
            </w:pPr>
            <w:r w:rsidRPr="00E377EA">
              <w:rPr>
                <w:rFonts w:asciiTheme="majorHAnsi" w:eastAsia="Times New Roman" w:hAnsiTheme="majorHAnsi" w:cs="Times New Roman"/>
                <w:b w:val="0"/>
                <w:sz w:val="18"/>
                <w:lang w:eastAsia="es-CO"/>
              </w:rPr>
              <w:t>(Cifras acumuladas de acuerdo al PDEA cuatrienal)</w:t>
            </w:r>
            <w:r w:rsidRPr="00E377EA">
              <w:rPr>
                <w:rFonts w:asciiTheme="majorHAnsi" w:eastAsia="Times New Roman" w:hAnsiTheme="majorHAnsi" w:cs="Times New Roman"/>
                <w:b w:val="0"/>
                <w:color w:val="000000"/>
                <w:sz w:val="18"/>
                <w:lang w:eastAsia="es-CO"/>
              </w:rPr>
              <w:t> </w:t>
            </w:r>
          </w:p>
        </w:tc>
        <w:tc>
          <w:tcPr>
            <w:tcW w:w="0" w:type="auto"/>
            <w:vMerge w:val="restart"/>
            <w:noWrap/>
            <w:vAlign w:val="center"/>
            <w:hideMark/>
          </w:tcPr>
          <w:p w14:paraId="4C91EE54" w14:textId="4FA5B453" w:rsidR="00E377EA" w:rsidRPr="00E377EA" w:rsidRDefault="00E377EA" w:rsidP="00E377EA">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18"/>
                <w:lang w:eastAsia="es-CO"/>
              </w:rPr>
            </w:pPr>
            <w:r w:rsidRPr="00E377EA">
              <w:rPr>
                <w:rFonts w:asciiTheme="majorHAnsi" w:eastAsia="Times New Roman" w:hAnsiTheme="majorHAnsi" w:cs="Times New Roman"/>
                <w:color w:val="000000"/>
                <w:sz w:val="18"/>
                <w:lang w:eastAsia="es-CO"/>
              </w:rPr>
              <w:t xml:space="preserve">TOTAL </w:t>
            </w:r>
          </w:p>
        </w:tc>
      </w:tr>
      <w:tr w:rsidR="00E377EA" w:rsidRPr="00E377EA" w14:paraId="0883F128"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6E8E6BE" w14:textId="77777777" w:rsidR="00E377EA" w:rsidRPr="00E377EA" w:rsidRDefault="00E377EA" w:rsidP="00E377EA">
            <w:pPr>
              <w:jc w:val="center"/>
              <w:rPr>
                <w:rFonts w:asciiTheme="majorHAnsi" w:eastAsia="Times New Roman" w:hAnsiTheme="majorHAnsi" w:cs="Times New Roman"/>
                <w:color w:val="000000"/>
                <w:sz w:val="18"/>
                <w:lang w:eastAsia="es-CO"/>
              </w:rPr>
            </w:pPr>
            <w:r w:rsidRPr="00E377EA">
              <w:rPr>
                <w:rFonts w:asciiTheme="majorHAnsi" w:eastAsia="Times New Roman" w:hAnsiTheme="majorHAnsi" w:cs="Times New Roman"/>
                <w:color w:val="000000"/>
                <w:sz w:val="18"/>
                <w:lang w:eastAsia="es-CO"/>
              </w:rPr>
              <w:t> </w:t>
            </w:r>
          </w:p>
        </w:tc>
        <w:tc>
          <w:tcPr>
            <w:tcW w:w="0" w:type="auto"/>
            <w:gridSpan w:val="6"/>
            <w:noWrap/>
            <w:vAlign w:val="center"/>
            <w:hideMark/>
          </w:tcPr>
          <w:p w14:paraId="4FE8C6B6"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8"/>
                <w:lang w:eastAsia="es-CO"/>
              </w:rPr>
            </w:pPr>
            <w:r w:rsidRPr="00E377EA">
              <w:rPr>
                <w:rFonts w:asciiTheme="majorHAnsi" w:eastAsia="Times New Roman" w:hAnsiTheme="majorHAnsi" w:cs="Times New Roman"/>
                <w:b/>
                <w:bCs/>
                <w:color w:val="000000"/>
                <w:sz w:val="18"/>
                <w:lang w:eastAsia="es-CO"/>
              </w:rPr>
              <w:t>Atención priorizada en municipios PDET</w:t>
            </w:r>
          </w:p>
        </w:tc>
        <w:tc>
          <w:tcPr>
            <w:tcW w:w="0" w:type="auto"/>
            <w:noWrap/>
            <w:vAlign w:val="center"/>
            <w:hideMark/>
          </w:tcPr>
          <w:p w14:paraId="301C1D18"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8"/>
                <w:lang w:eastAsia="es-CO"/>
              </w:rPr>
            </w:pPr>
            <w:r w:rsidRPr="00E377EA">
              <w:rPr>
                <w:rFonts w:asciiTheme="majorHAnsi" w:eastAsia="Times New Roman" w:hAnsiTheme="majorHAnsi" w:cs="Times New Roman"/>
                <w:b/>
                <w:bCs/>
                <w:color w:val="000000"/>
                <w:sz w:val="18"/>
                <w:lang w:eastAsia="es-CO"/>
              </w:rPr>
              <w:t>Atención Resto del País</w:t>
            </w:r>
          </w:p>
        </w:tc>
        <w:tc>
          <w:tcPr>
            <w:tcW w:w="0" w:type="auto"/>
            <w:vMerge/>
            <w:vAlign w:val="center"/>
            <w:hideMark/>
          </w:tcPr>
          <w:p w14:paraId="4194E78D" w14:textId="77777777" w:rsidR="00E377EA" w:rsidRPr="00E377EA" w:rsidRDefault="00E377EA" w:rsidP="00E377E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8"/>
                <w:lang w:eastAsia="es-CO"/>
              </w:rPr>
            </w:pPr>
          </w:p>
        </w:tc>
      </w:tr>
      <w:tr w:rsidR="00E377EA" w:rsidRPr="00E377EA" w14:paraId="414D4C4F"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8C73258" w14:textId="527FD3EC" w:rsidR="00E377EA" w:rsidRPr="00E377EA" w:rsidRDefault="00D55AAC" w:rsidP="00E377EA">
            <w:pPr>
              <w:jc w:val="center"/>
              <w:rPr>
                <w:rFonts w:asciiTheme="majorHAnsi" w:eastAsia="Times New Roman" w:hAnsiTheme="majorHAnsi" w:cs="Times New Roman"/>
                <w:color w:val="000000"/>
                <w:sz w:val="18"/>
                <w:lang w:eastAsia="es-CO"/>
              </w:rPr>
            </w:pPr>
            <w:r>
              <w:rPr>
                <w:rFonts w:asciiTheme="majorHAnsi" w:eastAsia="Times New Roman" w:hAnsiTheme="majorHAnsi" w:cs="Times New Roman"/>
                <w:color w:val="000000"/>
                <w:sz w:val="18"/>
                <w:lang w:eastAsia="es-CO"/>
              </w:rPr>
              <w:t>Horizonte del Plan</w:t>
            </w:r>
            <w:r w:rsidR="00E377EA" w:rsidRPr="00E377EA">
              <w:rPr>
                <w:rFonts w:asciiTheme="majorHAnsi" w:eastAsia="Times New Roman" w:hAnsiTheme="majorHAnsi" w:cs="Times New Roman"/>
                <w:color w:val="000000"/>
                <w:sz w:val="18"/>
                <w:lang w:eastAsia="es-CO"/>
              </w:rPr>
              <w:t> </w:t>
            </w:r>
          </w:p>
        </w:tc>
        <w:tc>
          <w:tcPr>
            <w:tcW w:w="0" w:type="auto"/>
            <w:noWrap/>
            <w:vAlign w:val="center"/>
            <w:hideMark/>
          </w:tcPr>
          <w:p w14:paraId="1CE33742"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6"/>
                <w:lang w:eastAsia="es-CO"/>
              </w:rPr>
            </w:pPr>
            <w:r w:rsidRPr="00E377EA">
              <w:rPr>
                <w:rFonts w:asciiTheme="majorHAnsi" w:eastAsia="Times New Roman" w:hAnsiTheme="majorHAnsi" w:cs="Times New Roman"/>
                <w:b/>
                <w:bCs/>
                <w:color w:val="000000"/>
                <w:sz w:val="16"/>
                <w:lang w:eastAsia="es-CO"/>
              </w:rPr>
              <w:t>Año 1 (2019)</w:t>
            </w:r>
          </w:p>
        </w:tc>
        <w:tc>
          <w:tcPr>
            <w:tcW w:w="0" w:type="auto"/>
            <w:noWrap/>
            <w:vAlign w:val="center"/>
            <w:hideMark/>
          </w:tcPr>
          <w:p w14:paraId="53CB97EC"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6"/>
                <w:lang w:eastAsia="es-CO"/>
              </w:rPr>
            </w:pPr>
            <w:r w:rsidRPr="00E377EA">
              <w:rPr>
                <w:rFonts w:asciiTheme="majorHAnsi" w:eastAsia="Times New Roman" w:hAnsiTheme="majorHAnsi" w:cs="Times New Roman"/>
                <w:b/>
                <w:bCs/>
                <w:color w:val="000000"/>
                <w:sz w:val="16"/>
                <w:lang w:eastAsia="es-CO"/>
              </w:rPr>
              <w:t>Año 2 (2020)</w:t>
            </w:r>
          </w:p>
        </w:tc>
        <w:tc>
          <w:tcPr>
            <w:tcW w:w="0" w:type="auto"/>
            <w:noWrap/>
            <w:vAlign w:val="center"/>
            <w:hideMark/>
          </w:tcPr>
          <w:p w14:paraId="4490145F"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6"/>
                <w:lang w:eastAsia="es-CO"/>
              </w:rPr>
            </w:pPr>
            <w:r w:rsidRPr="00E377EA">
              <w:rPr>
                <w:rFonts w:asciiTheme="majorHAnsi" w:eastAsia="Times New Roman" w:hAnsiTheme="majorHAnsi" w:cs="Times New Roman"/>
                <w:b/>
                <w:bCs/>
                <w:color w:val="000000"/>
                <w:sz w:val="16"/>
                <w:lang w:eastAsia="es-CO"/>
              </w:rPr>
              <w:t>Año 3 (2021)</w:t>
            </w:r>
          </w:p>
        </w:tc>
        <w:tc>
          <w:tcPr>
            <w:tcW w:w="0" w:type="auto"/>
            <w:noWrap/>
            <w:vAlign w:val="center"/>
            <w:hideMark/>
          </w:tcPr>
          <w:p w14:paraId="666A5FF8"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6"/>
                <w:lang w:eastAsia="es-CO"/>
              </w:rPr>
            </w:pPr>
            <w:r w:rsidRPr="00E377EA">
              <w:rPr>
                <w:rFonts w:asciiTheme="majorHAnsi" w:eastAsia="Times New Roman" w:hAnsiTheme="majorHAnsi" w:cs="Times New Roman"/>
                <w:b/>
                <w:bCs/>
                <w:color w:val="000000"/>
                <w:sz w:val="16"/>
                <w:lang w:eastAsia="es-CO"/>
              </w:rPr>
              <w:t>Año 4 (2022)</w:t>
            </w:r>
          </w:p>
        </w:tc>
        <w:tc>
          <w:tcPr>
            <w:tcW w:w="0" w:type="auto"/>
            <w:vAlign w:val="center"/>
            <w:hideMark/>
          </w:tcPr>
          <w:p w14:paraId="19F096AC"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FF"/>
                <w:sz w:val="16"/>
                <w:lang w:eastAsia="es-CO"/>
              </w:rPr>
            </w:pPr>
            <w:r w:rsidRPr="00E377EA">
              <w:rPr>
                <w:rFonts w:asciiTheme="majorHAnsi" w:eastAsia="Times New Roman" w:hAnsiTheme="majorHAnsi" w:cs="Times New Roman"/>
                <w:b/>
                <w:bCs/>
                <w:color w:val="0000FF"/>
                <w:sz w:val="16"/>
                <w:lang w:eastAsia="es-CO"/>
              </w:rPr>
              <w:t>CORTE</w:t>
            </w:r>
            <w:r w:rsidRPr="00E377EA">
              <w:rPr>
                <w:rFonts w:asciiTheme="majorHAnsi" w:eastAsia="Times New Roman" w:hAnsiTheme="majorHAnsi" w:cs="Times New Roman"/>
                <w:b/>
                <w:bCs/>
                <w:color w:val="0000FF"/>
                <w:sz w:val="16"/>
                <w:lang w:eastAsia="es-CO"/>
              </w:rPr>
              <w:br/>
              <w:t>Subtotales PND 2018-2022</w:t>
            </w:r>
          </w:p>
        </w:tc>
        <w:tc>
          <w:tcPr>
            <w:tcW w:w="0" w:type="auto"/>
            <w:noWrap/>
            <w:vAlign w:val="center"/>
            <w:hideMark/>
          </w:tcPr>
          <w:p w14:paraId="3CDC4B7F"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6"/>
                <w:lang w:eastAsia="es-CO"/>
              </w:rPr>
            </w:pPr>
            <w:r w:rsidRPr="00E377EA">
              <w:rPr>
                <w:rFonts w:asciiTheme="majorHAnsi" w:eastAsia="Times New Roman" w:hAnsiTheme="majorHAnsi" w:cs="Times New Roman"/>
                <w:b/>
                <w:bCs/>
                <w:color w:val="000000"/>
                <w:sz w:val="16"/>
                <w:lang w:eastAsia="es-CO"/>
              </w:rPr>
              <w:t xml:space="preserve">Año 5 </w:t>
            </w:r>
          </w:p>
          <w:p w14:paraId="3DD0F557" w14:textId="6A491E20"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6"/>
                <w:lang w:eastAsia="es-CO"/>
              </w:rPr>
            </w:pPr>
            <w:r w:rsidRPr="00E377EA">
              <w:rPr>
                <w:rFonts w:asciiTheme="majorHAnsi" w:eastAsia="Times New Roman" w:hAnsiTheme="majorHAnsi" w:cs="Times New Roman"/>
                <w:b/>
                <w:bCs/>
                <w:color w:val="000000"/>
                <w:sz w:val="16"/>
                <w:lang w:eastAsia="es-CO"/>
              </w:rPr>
              <w:t>(Año 2023)</w:t>
            </w:r>
          </w:p>
        </w:tc>
        <w:tc>
          <w:tcPr>
            <w:tcW w:w="0" w:type="auto"/>
            <w:noWrap/>
            <w:vAlign w:val="center"/>
            <w:hideMark/>
          </w:tcPr>
          <w:p w14:paraId="1460CE92"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6"/>
                <w:lang w:eastAsia="es-CO"/>
              </w:rPr>
            </w:pPr>
            <w:r w:rsidRPr="00E377EA">
              <w:rPr>
                <w:rFonts w:asciiTheme="majorHAnsi" w:eastAsia="Times New Roman" w:hAnsiTheme="majorHAnsi" w:cs="Times New Roman"/>
                <w:b/>
                <w:bCs/>
                <w:color w:val="000000"/>
                <w:sz w:val="16"/>
                <w:lang w:eastAsia="es-CO"/>
              </w:rPr>
              <w:t>Año 6-15</w:t>
            </w:r>
          </w:p>
        </w:tc>
        <w:tc>
          <w:tcPr>
            <w:tcW w:w="0" w:type="auto"/>
            <w:vMerge/>
            <w:vAlign w:val="center"/>
            <w:hideMark/>
          </w:tcPr>
          <w:p w14:paraId="60E160D9" w14:textId="77777777" w:rsidR="00E377EA" w:rsidRPr="00E377EA" w:rsidRDefault="00E377EA" w:rsidP="00E377E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8"/>
                <w:lang w:eastAsia="es-CO"/>
              </w:rPr>
            </w:pPr>
          </w:p>
        </w:tc>
      </w:tr>
      <w:tr w:rsidR="00E377EA" w:rsidRPr="00E377EA" w14:paraId="5CFD5E48"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D75469E" w14:textId="77777777" w:rsidR="00E377EA" w:rsidRPr="00E377EA" w:rsidRDefault="00E377EA" w:rsidP="00E377EA">
            <w:pPr>
              <w:jc w:val="center"/>
              <w:rPr>
                <w:rFonts w:asciiTheme="majorHAnsi" w:eastAsia="Times New Roman" w:hAnsiTheme="majorHAnsi" w:cs="Times New Roman"/>
                <w:color w:val="FF0000"/>
                <w:sz w:val="18"/>
                <w:lang w:eastAsia="es-CO"/>
              </w:rPr>
            </w:pPr>
            <w:r w:rsidRPr="00E377EA">
              <w:rPr>
                <w:rFonts w:asciiTheme="majorHAnsi" w:eastAsia="Times New Roman" w:hAnsiTheme="majorHAnsi" w:cs="Times New Roman"/>
                <w:color w:val="FF0000"/>
                <w:sz w:val="18"/>
                <w:lang w:eastAsia="es-CO"/>
              </w:rPr>
              <w:t>INFORMACIÓN PROYECTADA</w:t>
            </w:r>
          </w:p>
        </w:tc>
        <w:tc>
          <w:tcPr>
            <w:tcW w:w="0" w:type="auto"/>
            <w:noWrap/>
            <w:vAlign w:val="center"/>
            <w:hideMark/>
          </w:tcPr>
          <w:p w14:paraId="27230606"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4"/>
                <w:lang w:eastAsia="es-CO"/>
              </w:rPr>
            </w:pPr>
            <w:r w:rsidRPr="00E377EA">
              <w:rPr>
                <w:rFonts w:asciiTheme="majorHAnsi" w:eastAsia="Times New Roman" w:hAnsiTheme="majorHAnsi" w:cs="Times New Roman"/>
                <w:b/>
                <w:bCs/>
                <w:color w:val="000000"/>
                <w:sz w:val="14"/>
                <w:lang w:eastAsia="es-CO"/>
              </w:rPr>
              <w:t> </w:t>
            </w:r>
          </w:p>
        </w:tc>
        <w:tc>
          <w:tcPr>
            <w:tcW w:w="0" w:type="auto"/>
            <w:noWrap/>
            <w:vAlign w:val="center"/>
            <w:hideMark/>
          </w:tcPr>
          <w:p w14:paraId="05AAD9DE"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4"/>
                <w:lang w:eastAsia="es-CO"/>
              </w:rPr>
            </w:pPr>
            <w:r w:rsidRPr="00E377EA">
              <w:rPr>
                <w:rFonts w:asciiTheme="majorHAnsi" w:eastAsia="Times New Roman" w:hAnsiTheme="majorHAnsi" w:cs="Times New Roman"/>
                <w:b/>
                <w:bCs/>
                <w:color w:val="000000"/>
                <w:sz w:val="14"/>
                <w:lang w:eastAsia="es-CO"/>
              </w:rPr>
              <w:t> </w:t>
            </w:r>
          </w:p>
        </w:tc>
        <w:tc>
          <w:tcPr>
            <w:tcW w:w="0" w:type="auto"/>
            <w:noWrap/>
            <w:vAlign w:val="center"/>
            <w:hideMark/>
          </w:tcPr>
          <w:p w14:paraId="0674CA48"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4"/>
                <w:lang w:eastAsia="es-CO"/>
              </w:rPr>
            </w:pPr>
            <w:r w:rsidRPr="00E377EA">
              <w:rPr>
                <w:rFonts w:asciiTheme="majorHAnsi" w:eastAsia="Times New Roman" w:hAnsiTheme="majorHAnsi" w:cs="Times New Roman"/>
                <w:b/>
                <w:bCs/>
                <w:color w:val="000000"/>
                <w:sz w:val="14"/>
                <w:lang w:eastAsia="es-CO"/>
              </w:rPr>
              <w:t> </w:t>
            </w:r>
          </w:p>
        </w:tc>
        <w:tc>
          <w:tcPr>
            <w:tcW w:w="0" w:type="auto"/>
            <w:noWrap/>
            <w:vAlign w:val="center"/>
            <w:hideMark/>
          </w:tcPr>
          <w:p w14:paraId="4980DB36"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4"/>
                <w:lang w:eastAsia="es-CO"/>
              </w:rPr>
            </w:pPr>
            <w:r w:rsidRPr="00E377EA">
              <w:rPr>
                <w:rFonts w:asciiTheme="majorHAnsi" w:eastAsia="Times New Roman" w:hAnsiTheme="majorHAnsi" w:cs="Times New Roman"/>
                <w:b/>
                <w:bCs/>
                <w:color w:val="000000"/>
                <w:sz w:val="14"/>
                <w:lang w:eastAsia="es-CO"/>
              </w:rPr>
              <w:t> </w:t>
            </w:r>
          </w:p>
        </w:tc>
        <w:tc>
          <w:tcPr>
            <w:tcW w:w="0" w:type="auto"/>
            <w:vAlign w:val="center"/>
            <w:hideMark/>
          </w:tcPr>
          <w:p w14:paraId="6F668327"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4"/>
                <w:lang w:eastAsia="es-CO"/>
              </w:rPr>
            </w:pPr>
            <w:r w:rsidRPr="00E377EA">
              <w:rPr>
                <w:rFonts w:asciiTheme="majorHAnsi" w:eastAsia="Times New Roman" w:hAnsiTheme="majorHAnsi" w:cs="Times New Roman"/>
                <w:b/>
                <w:bCs/>
                <w:color w:val="000000"/>
                <w:sz w:val="14"/>
                <w:lang w:eastAsia="es-CO"/>
              </w:rPr>
              <w:t> </w:t>
            </w:r>
          </w:p>
        </w:tc>
        <w:tc>
          <w:tcPr>
            <w:tcW w:w="0" w:type="auto"/>
            <w:noWrap/>
            <w:vAlign w:val="center"/>
            <w:hideMark/>
          </w:tcPr>
          <w:p w14:paraId="4AC25585"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4"/>
                <w:lang w:eastAsia="es-CO"/>
              </w:rPr>
            </w:pPr>
            <w:r w:rsidRPr="00E377EA">
              <w:rPr>
                <w:rFonts w:asciiTheme="majorHAnsi" w:eastAsia="Times New Roman" w:hAnsiTheme="majorHAnsi" w:cs="Times New Roman"/>
                <w:b/>
                <w:bCs/>
                <w:color w:val="000000"/>
                <w:sz w:val="14"/>
                <w:lang w:eastAsia="es-CO"/>
              </w:rPr>
              <w:t> </w:t>
            </w:r>
          </w:p>
        </w:tc>
        <w:tc>
          <w:tcPr>
            <w:tcW w:w="0" w:type="auto"/>
            <w:noWrap/>
            <w:vAlign w:val="center"/>
            <w:hideMark/>
          </w:tcPr>
          <w:p w14:paraId="1C57ADF4"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4"/>
                <w:lang w:eastAsia="es-CO"/>
              </w:rPr>
            </w:pPr>
            <w:r w:rsidRPr="00E377EA">
              <w:rPr>
                <w:rFonts w:asciiTheme="majorHAnsi" w:eastAsia="Times New Roman" w:hAnsiTheme="majorHAnsi" w:cs="Times New Roman"/>
                <w:b/>
                <w:bCs/>
                <w:color w:val="000000"/>
                <w:sz w:val="14"/>
                <w:lang w:eastAsia="es-CO"/>
              </w:rPr>
              <w:t> </w:t>
            </w:r>
          </w:p>
        </w:tc>
        <w:tc>
          <w:tcPr>
            <w:tcW w:w="0" w:type="auto"/>
            <w:noWrap/>
            <w:vAlign w:val="center"/>
            <w:hideMark/>
          </w:tcPr>
          <w:p w14:paraId="6AB92CED"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14"/>
                <w:lang w:eastAsia="es-CO"/>
              </w:rPr>
            </w:pPr>
            <w:r w:rsidRPr="00E377EA">
              <w:rPr>
                <w:rFonts w:asciiTheme="majorHAnsi" w:eastAsia="Times New Roman" w:hAnsiTheme="majorHAnsi" w:cs="Times New Roman"/>
                <w:b/>
                <w:bCs/>
                <w:color w:val="000000"/>
                <w:sz w:val="14"/>
                <w:lang w:eastAsia="es-CO"/>
              </w:rPr>
              <w:t> </w:t>
            </w:r>
          </w:p>
        </w:tc>
      </w:tr>
      <w:tr w:rsidR="00E377EA" w:rsidRPr="00E377EA" w14:paraId="0E643F73"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F16D65B" w14:textId="77777777" w:rsidR="00E377EA" w:rsidRPr="00E377EA" w:rsidRDefault="00E377EA" w:rsidP="00E377EA">
            <w:pPr>
              <w:rPr>
                <w:rFonts w:asciiTheme="majorHAnsi" w:eastAsia="Times New Roman" w:hAnsiTheme="majorHAnsi" w:cs="Times New Roman"/>
                <w:color w:val="000000"/>
                <w:sz w:val="18"/>
                <w:lang w:eastAsia="es-CO"/>
              </w:rPr>
            </w:pPr>
            <w:r w:rsidRPr="00E377EA">
              <w:rPr>
                <w:rFonts w:asciiTheme="majorHAnsi" w:eastAsia="Times New Roman" w:hAnsiTheme="majorHAnsi" w:cs="Times New Roman"/>
                <w:color w:val="000000"/>
                <w:sz w:val="18"/>
                <w:lang w:eastAsia="es-CO"/>
              </w:rPr>
              <w:t xml:space="preserve"> Total UF (acumuladas) </w:t>
            </w:r>
          </w:p>
        </w:tc>
        <w:tc>
          <w:tcPr>
            <w:tcW w:w="0" w:type="auto"/>
            <w:noWrap/>
            <w:vAlign w:val="center"/>
            <w:hideMark/>
          </w:tcPr>
          <w:p w14:paraId="2A2A57F9" w14:textId="73012CFB"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36.259</w:t>
            </w:r>
          </w:p>
        </w:tc>
        <w:tc>
          <w:tcPr>
            <w:tcW w:w="0" w:type="auto"/>
            <w:noWrap/>
            <w:vAlign w:val="center"/>
            <w:hideMark/>
          </w:tcPr>
          <w:p w14:paraId="357DA920" w14:textId="0F277DD1"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72.518</w:t>
            </w:r>
          </w:p>
        </w:tc>
        <w:tc>
          <w:tcPr>
            <w:tcW w:w="0" w:type="auto"/>
            <w:noWrap/>
            <w:vAlign w:val="center"/>
            <w:hideMark/>
          </w:tcPr>
          <w:p w14:paraId="30CDF6E9" w14:textId="52D1BAB6"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108.777</w:t>
            </w:r>
          </w:p>
        </w:tc>
        <w:tc>
          <w:tcPr>
            <w:tcW w:w="0" w:type="auto"/>
            <w:noWrap/>
            <w:vAlign w:val="center"/>
            <w:hideMark/>
          </w:tcPr>
          <w:p w14:paraId="68860AA7" w14:textId="52F4B1F5"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145.036</w:t>
            </w:r>
          </w:p>
        </w:tc>
        <w:tc>
          <w:tcPr>
            <w:tcW w:w="0" w:type="auto"/>
            <w:noWrap/>
            <w:vAlign w:val="center"/>
            <w:hideMark/>
          </w:tcPr>
          <w:p w14:paraId="7953A9D7" w14:textId="105BD5AE"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19A7A301" w14:textId="2E21273D"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181.295</w:t>
            </w:r>
          </w:p>
        </w:tc>
        <w:tc>
          <w:tcPr>
            <w:tcW w:w="0" w:type="auto"/>
            <w:noWrap/>
            <w:vAlign w:val="center"/>
            <w:hideMark/>
          </w:tcPr>
          <w:p w14:paraId="4F25279E" w14:textId="48EB1D63"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3.796.375</w:t>
            </w:r>
          </w:p>
        </w:tc>
        <w:tc>
          <w:tcPr>
            <w:tcW w:w="0" w:type="auto"/>
            <w:noWrap/>
            <w:vAlign w:val="center"/>
            <w:hideMark/>
          </w:tcPr>
          <w:p w14:paraId="5F6DB276" w14:textId="061AA0D3"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r w:rsidRPr="00E377EA">
              <w:rPr>
                <w:rFonts w:asciiTheme="majorHAnsi" w:hAnsiTheme="majorHAnsi"/>
                <w:sz w:val="14"/>
                <w:szCs w:val="24"/>
                <w:lang w:eastAsia="es-CO"/>
              </w:rPr>
              <w:t>4.340.260</w:t>
            </w:r>
          </w:p>
        </w:tc>
      </w:tr>
      <w:tr w:rsidR="00E377EA" w:rsidRPr="00E377EA" w14:paraId="666F011E"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6E2C571" w14:textId="77777777" w:rsidR="00E377EA" w:rsidRPr="00E377EA" w:rsidRDefault="00E377EA" w:rsidP="00E377EA">
            <w:pPr>
              <w:rPr>
                <w:rFonts w:asciiTheme="majorHAnsi" w:eastAsia="Times New Roman" w:hAnsiTheme="majorHAnsi" w:cs="Times New Roman"/>
                <w:color w:val="000000"/>
                <w:sz w:val="18"/>
                <w:lang w:eastAsia="es-CO"/>
              </w:rPr>
            </w:pPr>
            <w:r w:rsidRPr="00E377EA">
              <w:rPr>
                <w:rFonts w:asciiTheme="majorHAnsi" w:eastAsia="Times New Roman" w:hAnsiTheme="majorHAnsi" w:cs="Times New Roman"/>
                <w:color w:val="000000"/>
                <w:sz w:val="18"/>
                <w:lang w:eastAsia="es-CO"/>
              </w:rPr>
              <w:t>Costos del servicio con incremento IPC</w:t>
            </w:r>
          </w:p>
        </w:tc>
        <w:tc>
          <w:tcPr>
            <w:tcW w:w="0" w:type="auto"/>
            <w:noWrap/>
            <w:vAlign w:val="center"/>
            <w:hideMark/>
          </w:tcPr>
          <w:p w14:paraId="34BD4F67"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$750.000</w:t>
            </w:r>
          </w:p>
        </w:tc>
        <w:tc>
          <w:tcPr>
            <w:tcW w:w="0" w:type="auto"/>
            <w:noWrap/>
            <w:vAlign w:val="center"/>
            <w:hideMark/>
          </w:tcPr>
          <w:p w14:paraId="5D9BE39B"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$772.500</w:t>
            </w:r>
          </w:p>
        </w:tc>
        <w:tc>
          <w:tcPr>
            <w:tcW w:w="0" w:type="auto"/>
            <w:noWrap/>
            <w:vAlign w:val="center"/>
            <w:hideMark/>
          </w:tcPr>
          <w:p w14:paraId="40778C32"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$795.675</w:t>
            </w:r>
          </w:p>
        </w:tc>
        <w:tc>
          <w:tcPr>
            <w:tcW w:w="0" w:type="auto"/>
            <w:noWrap/>
            <w:vAlign w:val="center"/>
            <w:hideMark/>
          </w:tcPr>
          <w:p w14:paraId="454A40AA"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$819.545</w:t>
            </w:r>
          </w:p>
        </w:tc>
        <w:tc>
          <w:tcPr>
            <w:tcW w:w="0" w:type="auto"/>
            <w:noWrap/>
            <w:vAlign w:val="center"/>
            <w:hideMark/>
          </w:tcPr>
          <w:p w14:paraId="4C9FA62E" w14:textId="46987952"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23B7062F"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$844.132</w:t>
            </w:r>
          </w:p>
        </w:tc>
        <w:tc>
          <w:tcPr>
            <w:tcW w:w="0" w:type="auto"/>
            <w:noWrap/>
            <w:vAlign w:val="center"/>
            <w:hideMark/>
          </w:tcPr>
          <w:p w14:paraId="3F74F9E3" w14:textId="75CF3B49"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9.967.334</w:t>
            </w:r>
          </w:p>
        </w:tc>
        <w:tc>
          <w:tcPr>
            <w:tcW w:w="0" w:type="auto"/>
            <w:noWrap/>
            <w:vAlign w:val="center"/>
            <w:hideMark/>
          </w:tcPr>
          <w:p w14:paraId="05A357E1"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r>
      <w:tr w:rsidR="00E377EA" w:rsidRPr="00E377EA" w14:paraId="5B1A47D9"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themeFill="accent1" w:themeFillTint="66"/>
            <w:vAlign w:val="center"/>
            <w:hideMark/>
          </w:tcPr>
          <w:p w14:paraId="4B8AC672" w14:textId="77777777" w:rsidR="00E377EA" w:rsidRPr="00E377EA" w:rsidRDefault="00E377EA" w:rsidP="00E377EA">
            <w:pPr>
              <w:rPr>
                <w:rFonts w:asciiTheme="majorHAnsi" w:eastAsia="Times New Roman" w:hAnsiTheme="majorHAnsi" w:cs="Times New Roman"/>
                <w:color w:val="000000"/>
                <w:sz w:val="18"/>
                <w:lang w:eastAsia="es-CO"/>
              </w:rPr>
            </w:pPr>
            <w:r w:rsidRPr="00E377EA">
              <w:rPr>
                <w:rFonts w:asciiTheme="majorHAnsi" w:eastAsia="Times New Roman" w:hAnsiTheme="majorHAnsi" w:cs="Times New Roman"/>
                <w:color w:val="000000"/>
                <w:sz w:val="18"/>
                <w:lang w:eastAsia="es-CO"/>
              </w:rPr>
              <w:t>Presupuesto proyectado para atender al total de UF</w:t>
            </w:r>
          </w:p>
        </w:tc>
        <w:tc>
          <w:tcPr>
            <w:tcW w:w="0" w:type="auto"/>
            <w:shd w:val="clear" w:color="auto" w:fill="B4C6E7" w:themeFill="accent1" w:themeFillTint="66"/>
            <w:noWrap/>
            <w:vAlign w:val="center"/>
            <w:hideMark/>
          </w:tcPr>
          <w:p w14:paraId="25EBE87F"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$27.194.250.000</w:t>
            </w:r>
          </w:p>
        </w:tc>
        <w:tc>
          <w:tcPr>
            <w:tcW w:w="0" w:type="auto"/>
            <w:shd w:val="clear" w:color="auto" w:fill="B4C6E7" w:themeFill="accent1" w:themeFillTint="66"/>
            <w:noWrap/>
            <w:vAlign w:val="center"/>
            <w:hideMark/>
          </w:tcPr>
          <w:p w14:paraId="664304E2"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$56.020.155.000</w:t>
            </w:r>
          </w:p>
        </w:tc>
        <w:tc>
          <w:tcPr>
            <w:tcW w:w="0" w:type="auto"/>
            <w:shd w:val="clear" w:color="auto" w:fill="B4C6E7" w:themeFill="accent1" w:themeFillTint="66"/>
            <w:noWrap/>
            <w:vAlign w:val="center"/>
            <w:hideMark/>
          </w:tcPr>
          <w:p w14:paraId="341F4D82"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$86.551.139.475</w:t>
            </w:r>
          </w:p>
        </w:tc>
        <w:tc>
          <w:tcPr>
            <w:tcW w:w="0" w:type="auto"/>
            <w:shd w:val="clear" w:color="auto" w:fill="B4C6E7" w:themeFill="accent1" w:themeFillTint="66"/>
            <w:noWrap/>
            <w:vAlign w:val="center"/>
            <w:hideMark/>
          </w:tcPr>
          <w:p w14:paraId="2FED5449"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$115.401.519.300</w:t>
            </w:r>
          </w:p>
        </w:tc>
        <w:tc>
          <w:tcPr>
            <w:tcW w:w="0" w:type="auto"/>
            <w:shd w:val="clear" w:color="auto" w:fill="B4C6E7" w:themeFill="accent1" w:themeFillTint="66"/>
            <w:noWrap/>
            <w:vAlign w:val="center"/>
            <w:hideMark/>
          </w:tcPr>
          <w:p w14:paraId="3EC7491D" w14:textId="2A2251B6"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shd w:val="clear" w:color="auto" w:fill="B4C6E7" w:themeFill="accent1" w:themeFillTint="66"/>
            <w:noWrap/>
            <w:vAlign w:val="center"/>
            <w:hideMark/>
          </w:tcPr>
          <w:p w14:paraId="7E4CBA25" w14:textId="77777777" w:rsidR="00E377EA" w:rsidRPr="007F1185"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14"/>
                <w:lang w:eastAsia="es-CO"/>
              </w:rPr>
            </w:pPr>
            <w:r w:rsidRPr="007F1185">
              <w:rPr>
                <w:rFonts w:asciiTheme="majorHAnsi" w:hAnsiTheme="majorHAnsi"/>
                <w:b/>
                <w:sz w:val="14"/>
                <w:lang w:eastAsia="es-CO"/>
              </w:rPr>
              <w:t>$153.036.839.782</w:t>
            </w:r>
          </w:p>
        </w:tc>
        <w:tc>
          <w:tcPr>
            <w:tcW w:w="0" w:type="auto"/>
            <w:shd w:val="clear" w:color="auto" w:fill="B4C6E7" w:themeFill="accent1" w:themeFillTint="66"/>
            <w:noWrap/>
            <w:vAlign w:val="center"/>
            <w:hideMark/>
          </w:tcPr>
          <w:p w14:paraId="608E0AC3" w14:textId="4614F093" w:rsidR="00E377EA" w:rsidRPr="007F1185"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14"/>
                <w:lang w:eastAsia="es-CO"/>
              </w:rPr>
            </w:pPr>
            <w:r w:rsidRPr="007F1185">
              <w:rPr>
                <w:rFonts w:asciiTheme="majorHAnsi" w:hAnsiTheme="majorHAnsi"/>
                <w:b/>
                <w:sz w:val="14"/>
                <w:lang w:eastAsia="es-CO"/>
              </w:rPr>
              <w:t>3.951.501.939.125</w:t>
            </w:r>
          </w:p>
        </w:tc>
        <w:tc>
          <w:tcPr>
            <w:tcW w:w="0" w:type="auto"/>
            <w:shd w:val="clear" w:color="auto" w:fill="B4C6E7" w:themeFill="accent1" w:themeFillTint="66"/>
            <w:noWrap/>
            <w:vAlign w:val="center"/>
            <w:hideMark/>
          </w:tcPr>
          <w:p w14:paraId="443FB547" w14:textId="77777777" w:rsidR="00E377EA" w:rsidRPr="007F1185"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14"/>
                <w:szCs w:val="24"/>
                <w:lang w:eastAsia="es-CO"/>
              </w:rPr>
            </w:pPr>
            <w:r w:rsidRPr="007F1185">
              <w:rPr>
                <w:rFonts w:asciiTheme="majorHAnsi" w:hAnsiTheme="majorHAnsi"/>
                <w:b/>
                <w:sz w:val="14"/>
                <w:szCs w:val="24"/>
                <w:highlight w:val="yellow"/>
                <w:lang w:eastAsia="es-CO"/>
              </w:rPr>
              <w:t>$4.389.705.842.682</w:t>
            </w:r>
          </w:p>
        </w:tc>
      </w:tr>
      <w:tr w:rsidR="00E377EA" w:rsidRPr="00E377EA" w14:paraId="0F1BAB55"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A432E9E" w14:textId="70883DA7" w:rsidR="00E377EA" w:rsidRPr="00E377EA" w:rsidRDefault="00E377EA" w:rsidP="00E377EA">
            <w:pPr>
              <w:rPr>
                <w:rFonts w:asciiTheme="majorHAnsi" w:eastAsia="Times New Roman" w:hAnsiTheme="majorHAnsi" w:cs="Times New Roman"/>
                <w:color w:val="FF0000"/>
                <w:sz w:val="18"/>
                <w:lang w:eastAsia="es-CO"/>
              </w:rPr>
            </w:pPr>
            <w:r w:rsidRPr="00E377EA">
              <w:rPr>
                <w:rFonts w:asciiTheme="majorHAnsi" w:eastAsia="Times New Roman" w:hAnsiTheme="majorHAnsi" w:cs="Times New Roman"/>
                <w:color w:val="FF0000"/>
                <w:sz w:val="18"/>
                <w:lang w:eastAsia="es-CO"/>
              </w:rPr>
              <w:t>PRIORIZACIÓN</w:t>
            </w:r>
            <w:r w:rsidR="00D55AAC">
              <w:rPr>
                <w:rFonts w:asciiTheme="majorHAnsi" w:eastAsia="Times New Roman" w:hAnsiTheme="majorHAnsi" w:cs="Times New Roman"/>
                <w:color w:val="FF0000"/>
                <w:sz w:val="18"/>
                <w:lang w:eastAsia="es-CO"/>
              </w:rPr>
              <w:t xml:space="preserve"> – Plan AT</w:t>
            </w:r>
          </w:p>
        </w:tc>
        <w:tc>
          <w:tcPr>
            <w:tcW w:w="0" w:type="auto"/>
            <w:noWrap/>
            <w:vAlign w:val="center"/>
            <w:hideMark/>
          </w:tcPr>
          <w:p w14:paraId="1E6034A0" w14:textId="2C5E0C4C"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6BCF8DB4" w14:textId="2F0A9D32"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147C1958" w14:textId="453D5BFC"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77E50E9F" w14:textId="5DFE9DB3"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296ED8CF" w14:textId="0BF4BCFD"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1C80382C" w14:textId="4702EB09" w:rsidR="00E377EA" w:rsidRPr="007F1185"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14"/>
                <w:lang w:eastAsia="es-CO"/>
              </w:rPr>
            </w:pPr>
          </w:p>
        </w:tc>
        <w:tc>
          <w:tcPr>
            <w:tcW w:w="0" w:type="auto"/>
            <w:noWrap/>
            <w:vAlign w:val="center"/>
            <w:hideMark/>
          </w:tcPr>
          <w:p w14:paraId="7DF7A195" w14:textId="55FF89CA" w:rsidR="00E377EA" w:rsidRPr="007F1185"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14"/>
                <w:lang w:eastAsia="es-CO"/>
              </w:rPr>
            </w:pPr>
          </w:p>
        </w:tc>
        <w:tc>
          <w:tcPr>
            <w:tcW w:w="0" w:type="auto"/>
            <w:noWrap/>
            <w:vAlign w:val="center"/>
            <w:hideMark/>
          </w:tcPr>
          <w:p w14:paraId="1FFEDAC6" w14:textId="4755FC33" w:rsidR="00E377EA" w:rsidRPr="007F1185"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sz w:val="14"/>
                <w:szCs w:val="24"/>
                <w:lang w:eastAsia="es-CO"/>
              </w:rPr>
            </w:pPr>
          </w:p>
        </w:tc>
      </w:tr>
      <w:tr w:rsidR="00E377EA" w:rsidRPr="00E377EA" w14:paraId="631DF29E"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88A7B5" w14:textId="77777777" w:rsidR="00E377EA" w:rsidRPr="00E377EA" w:rsidRDefault="00E377EA" w:rsidP="00E377EA">
            <w:pPr>
              <w:rPr>
                <w:rFonts w:asciiTheme="majorHAnsi" w:eastAsia="Times New Roman" w:hAnsiTheme="majorHAnsi" w:cs="Times New Roman"/>
                <w:color w:val="000000"/>
                <w:sz w:val="18"/>
                <w:lang w:eastAsia="es-CO"/>
              </w:rPr>
            </w:pPr>
            <w:r w:rsidRPr="00E377EA">
              <w:rPr>
                <w:rFonts w:asciiTheme="majorHAnsi" w:eastAsia="Times New Roman" w:hAnsiTheme="majorHAnsi" w:cs="Times New Roman"/>
                <w:color w:val="000000"/>
                <w:sz w:val="18"/>
                <w:lang w:eastAsia="es-CO"/>
              </w:rPr>
              <w:t xml:space="preserve"> UF Priorizadas </w:t>
            </w:r>
          </w:p>
        </w:tc>
        <w:tc>
          <w:tcPr>
            <w:tcW w:w="0" w:type="auto"/>
            <w:noWrap/>
            <w:vAlign w:val="center"/>
            <w:hideMark/>
          </w:tcPr>
          <w:p w14:paraId="1C969DB4" w14:textId="7D4E2FA3"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20.000</w:t>
            </w:r>
          </w:p>
        </w:tc>
        <w:tc>
          <w:tcPr>
            <w:tcW w:w="0" w:type="auto"/>
            <w:noWrap/>
            <w:vAlign w:val="center"/>
            <w:hideMark/>
          </w:tcPr>
          <w:p w14:paraId="592CB8CA" w14:textId="30F3C650"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120.000</w:t>
            </w:r>
          </w:p>
        </w:tc>
        <w:tc>
          <w:tcPr>
            <w:tcW w:w="0" w:type="auto"/>
            <w:noWrap/>
            <w:vAlign w:val="center"/>
            <w:hideMark/>
          </w:tcPr>
          <w:p w14:paraId="23B9F247" w14:textId="4431D33D"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200.000</w:t>
            </w:r>
          </w:p>
        </w:tc>
        <w:tc>
          <w:tcPr>
            <w:tcW w:w="0" w:type="auto"/>
            <w:noWrap/>
            <w:vAlign w:val="center"/>
            <w:hideMark/>
          </w:tcPr>
          <w:p w14:paraId="2F905FEA" w14:textId="768FA393"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210.000</w:t>
            </w:r>
          </w:p>
        </w:tc>
        <w:tc>
          <w:tcPr>
            <w:tcW w:w="0" w:type="auto"/>
            <w:noWrap/>
            <w:vAlign w:val="center"/>
            <w:hideMark/>
          </w:tcPr>
          <w:p w14:paraId="50BC70D8" w14:textId="67874354"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FF"/>
                <w:sz w:val="14"/>
                <w:lang w:eastAsia="es-CO"/>
              </w:rPr>
            </w:pPr>
            <w:r w:rsidRPr="00E377EA">
              <w:rPr>
                <w:rFonts w:asciiTheme="majorHAnsi" w:hAnsiTheme="majorHAnsi"/>
                <w:b/>
                <w:bCs/>
                <w:color w:val="0000FF"/>
                <w:sz w:val="14"/>
                <w:lang w:eastAsia="es-CO"/>
              </w:rPr>
              <w:t>550.000</w:t>
            </w:r>
          </w:p>
        </w:tc>
        <w:tc>
          <w:tcPr>
            <w:tcW w:w="0" w:type="auto"/>
            <w:noWrap/>
            <w:vAlign w:val="center"/>
            <w:hideMark/>
          </w:tcPr>
          <w:p w14:paraId="6841EA54" w14:textId="4B2EDFEE"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43C78CE1" w14:textId="6051954F"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597470F3" w14:textId="34D9EE76"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r>
      <w:tr w:rsidR="00E377EA" w:rsidRPr="00E377EA" w14:paraId="12249C45" w14:textId="77777777" w:rsidTr="00381B86">
        <w:trPr>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themeFill="accent1" w:themeFillTint="66"/>
            <w:vAlign w:val="center"/>
            <w:hideMark/>
          </w:tcPr>
          <w:p w14:paraId="0EF17729" w14:textId="77777777" w:rsidR="00E377EA" w:rsidRPr="00E377EA" w:rsidRDefault="00E377EA" w:rsidP="00E377EA">
            <w:pPr>
              <w:rPr>
                <w:rFonts w:asciiTheme="majorHAnsi" w:eastAsia="Times New Roman" w:hAnsiTheme="majorHAnsi" w:cs="Times New Roman"/>
                <w:color w:val="000000"/>
                <w:sz w:val="18"/>
                <w:lang w:eastAsia="es-CO"/>
              </w:rPr>
            </w:pPr>
            <w:r w:rsidRPr="00E377EA">
              <w:rPr>
                <w:rFonts w:asciiTheme="majorHAnsi" w:eastAsia="Times New Roman" w:hAnsiTheme="majorHAnsi" w:cs="Times New Roman"/>
                <w:color w:val="000000"/>
                <w:sz w:val="18"/>
                <w:lang w:eastAsia="es-CO"/>
              </w:rPr>
              <w:t>Presupuesto para atender UF priorizadas</w:t>
            </w:r>
          </w:p>
        </w:tc>
        <w:tc>
          <w:tcPr>
            <w:tcW w:w="0" w:type="auto"/>
            <w:shd w:val="clear" w:color="auto" w:fill="B4C6E7" w:themeFill="accent1" w:themeFillTint="66"/>
            <w:noWrap/>
            <w:vAlign w:val="center"/>
            <w:hideMark/>
          </w:tcPr>
          <w:p w14:paraId="6075189D"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$15.000.000.000</w:t>
            </w:r>
          </w:p>
        </w:tc>
        <w:tc>
          <w:tcPr>
            <w:tcW w:w="0" w:type="auto"/>
            <w:shd w:val="clear" w:color="auto" w:fill="B4C6E7" w:themeFill="accent1" w:themeFillTint="66"/>
            <w:noWrap/>
            <w:vAlign w:val="center"/>
            <w:hideMark/>
          </w:tcPr>
          <w:p w14:paraId="073E2C22"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$92.700.000.000</w:t>
            </w:r>
          </w:p>
        </w:tc>
        <w:tc>
          <w:tcPr>
            <w:tcW w:w="0" w:type="auto"/>
            <w:shd w:val="clear" w:color="auto" w:fill="B4C6E7" w:themeFill="accent1" w:themeFillTint="66"/>
            <w:noWrap/>
            <w:vAlign w:val="center"/>
            <w:hideMark/>
          </w:tcPr>
          <w:p w14:paraId="772FD9CF"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$159.135.000.000</w:t>
            </w:r>
          </w:p>
        </w:tc>
        <w:tc>
          <w:tcPr>
            <w:tcW w:w="0" w:type="auto"/>
            <w:shd w:val="clear" w:color="auto" w:fill="B4C6E7" w:themeFill="accent1" w:themeFillTint="66"/>
            <w:noWrap/>
            <w:vAlign w:val="center"/>
            <w:hideMark/>
          </w:tcPr>
          <w:p w14:paraId="01C3C2A7"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r w:rsidRPr="00E377EA">
              <w:rPr>
                <w:rFonts w:asciiTheme="majorHAnsi" w:hAnsiTheme="majorHAnsi"/>
                <w:sz w:val="14"/>
                <w:lang w:eastAsia="es-CO"/>
              </w:rPr>
              <w:t>$172.104.502.500</w:t>
            </w:r>
          </w:p>
        </w:tc>
        <w:tc>
          <w:tcPr>
            <w:tcW w:w="0" w:type="auto"/>
            <w:shd w:val="clear" w:color="auto" w:fill="B4C6E7" w:themeFill="accent1" w:themeFillTint="66"/>
            <w:noWrap/>
            <w:vAlign w:val="center"/>
            <w:hideMark/>
          </w:tcPr>
          <w:p w14:paraId="4E0F3C3C"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FF"/>
                <w:sz w:val="14"/>
                <w:lang w:eastAsia="es-CO"/>
              </w:rPr>
            </w:pPr>
            <w:r w:rsidRPr="00E377EA">
              <w:rPr>
                <w:rFonts w:asciiTheme="majorHAnsi" w:hAnsiTheme="majorHAnsi"/>
                <w:b/>
                <w:bCs/>
                <w:color w:val="0000FF"/>
                <w:sz w:val="14"/>
                <w:lang w:eastAsia="es-CO"/>
              </w:rPr>
              <w:t>$438.939.502.500</w:t>
            </w:r>
          </w:p>
        </w:tc>
        <w:tc>
          <w:tcPr>
            <w:tcW w:w="0" w:type="auto"/>
            <w:noWrap/>
            <w:vAlign w:val="center"/>
            <w:hideMark/>
          </w:tcPr>
          <w:p w14:paraId="3986B326" w14:textId="279DFAE3"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7F93921E" w14:textId="72AE9E05"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5B597684" w14:textId="2FF11191"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r>
      <w:tr w:rsidR="00E377EA" w:rsidRPr="00E377EA" w14:paraId="5756313A"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8BAF47" w14:textId="77777777" w:rsidR="00E377EA" w:rsidRPr="00E377EA" w:rsidRDefault="00E377EA" w:rsidP="00E377EA">
            <w:pPr>
              <w:rPr>
                <w:rFonts w:asciiTheme="majorHAnsi" w:eastAsia="Times New Roman" w:hAnsiTheme="majorHAnsi" w:cs="Times New Roman"/>
                <w:color w:val="000000"/>
                <w:sz w:val="18"/>
                <w:lang w:eastAsia="es-CO"/>
              </w:rPr>
            </w:pPr>
            <w:r w:rsidRPr="00E377EA">
              <w:rPr>
                <w:rFonts w:asciiTheme="majorHAnsi" w:eastAsia="Times New Roman" w:hAnsiTheme="majorHAnsi" w:cs="Times New Roman"/>
                <w:color w:val="000000"/>
                <w:sz w:val="18"/>
                <w:lang w:eastAsia="es-CO"/>
              </w:rPr>
              <w:t>% UF a ser atendidas/año</w:t>
            </w:r>
          </w:p>
        </w:tc>
        <w:tc>
          <w:tcPr>
            <w:tcW w:w="0" w:type="auto"/>
            <w:noWrap/>
            <w:vAlign w:val="center"/>
            <w:hideMark/>
          </w:tcPr>
          <w:p w14:paraId="06CFF0B7"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r w:rsidRPr="00E377EA">
              <w:rPr>
                <w:rFonts w:asciiTheme="majorHAnsi" w:hAnsiTheme="majorHAnsi"/>
                <w:sz w:val="14"/>
                <w:szCs w:val="24"/>
                <w:lang w:eastAsia="es-CO"/>
              </w:rPr>
              <w:t>55%</w:t>
            </w:r>
          </w:p>
        </w:tc>
        <w:tc>
          <w:tcPr>
            <w:tcW w:w="0" w:type="auto"/>
            <w:noWrap/>
            <w:vAlign w:val="center"/>
            <w:hideMark/>
          </w:tcPr>
          <w:p w14:paraId="72525F9D"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r w:rsidRPr="00E377EA">
              <w:rPr>
                <w:rFonts w:asciiTheme="majorHAnsi" w:hAnsiTheme="majorHAnsi"/>
                <w:sz w:val="14"/>
                <w:szCs w:val="24"/>
                <w:lang w:eastAsia="es-CO"/>
              </w:rPr>
              <w:t>165%</w:t>
            </w:r>
          </w:p>
        </w:tc>
        <w:tc>
          <w:tcPr>
            <w:tcW w:w="0" w:type="auto"/>
            <w:noWrap/>
            <w:vAlign w:val="center"/>
            <w:hideMark/>
          </w:tcPr>
          <w:p w14:paraId="5D2B00A5"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r w:rsidRPr="00E377EA">
              <w:rPr>
                <w:rFonts w:asciiTheme="majorHAnsi" w:hAnsiTheme="majorHAnsi"/>
                <w:sz w:val="14"/>
                <w:szCs w:val="24"/>
                <w:lang w:eastAsia="es-CO"/>
              </w:rPr>
              <w:t>184%</w:t>
            </w:r>
          </w:p>
        </w:tc>
        <w:tc>
          <w:tcPr>
            <w:tcW w:w="0" w:type="auto"/>
            <w:noWrap/>
            <w:vAlign w:val="center"/>
            <w:hideMark/>
          </w:tcPr>
          <w:p w14:paraId="55C4A876"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r w:rsidRPr="00E377EA">
              <w:rPr>
                <w:rFonts w:asciiTheme="majorHAnsi" w:hAnsiTheme="majorHAnsi"/>
                <w:sz w:val="14"/>
                <w:szCs w:val="24"/>
                <w:lang w:eastAsia="es-CO"/>
              </w:rPr>
              <w:t>145%</w:t>
            </w:r>
          </w:p>
        </w:tc>
        <w:tc>
          <w:tcPr>
            <w:tcW w:w="0" w:type="auto"/>
            <w:noWrap/>
            <w:vAlign w:val="center"/>
            <w:hideMark/>
          </w:tcPr>
          <w:p w14:paraId="747F8DA2" w14:textId="4E3BA2F2"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p>
        </w:tc>
        <w:tc>
          <w:tcPr>
            <w:tcW w:w="0" w:type="auto"/>
            <w:noWrap/>
            <w:vAlign w:val="center"/>
            <w:hideMark/>
          </w:tcPr>
          <w:p w14:paraId="5C6966BA" w14:textId="60E6EB63"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5296D68B" w14:textId="15E12E20"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7FB17EB0" w14:textId="7AB35072"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r>
      <w:tr w:rsidR="00E377EA" w:rsidRPr="00E377EA" w14:paraId="22796D59" w14:textId="77777777" w:rsidTr="007F1185">
        <w:trPr>
          <w:trHeight w:val="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AB71B0" w14:textId="77777777" w:rsidR="00E377EA" w:rsidRPr="00E377EA" w:rsidRDefault="00E377EA" w:rsidP="00E377EA">
            <w:pPr>
              <w:rPr>
                <w:rFonts w:asciiTheme="majorHAnsi" w:eastAsia="Times New Roman" w:hAnsiTheme="majorHAnsi" w:cs="Times New Roman"/>
                <w:color w:val="000000"/>
                <w:sz w:val="18"/>
                <w:lang w:eastAsia="es-CO"/>
              </w:rPr>
            </w:pPr>
            <w:r w:rsidRPr="00E377EA">
              <w:rPr>
                <w:rFonts w:asciiTheme="majorHAnsi" w:eastAsia="Times New Roman" w:hAnsiTheme="majorHAnsi" w:cs="Times New Roman"/>
                <w:color w:val="000000"/>
                <w:sz w:val="18"/>
                <w:lang w:eastAsia="es-CO"/>
              </w:rPr>
              <w:t>% atendido del total PDET</w:t>
            </w:r>
          </w:p>
        </w:tc>
        <w:tc>
          <w:tcPr>
            <w:tcW w:w="0" w:type="auto"/>
            <w:noWrap/>
            <w:vAlign w:val="center"/>
            <w:hideMark/>
          </w:tcPr>
          <w:p w14:paraId="6C352AD3"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r w:rsidRPr="00E377EA">
              <w:rPr>
                <w:rFonts w:asciiTheme="majorHAnsi" w:hAnsiTheme="majorHAnsi"/>
                <w:sz w:val="14"/>
                <w:szCs w:val="24"/>
                <w:lang w:eastAsia="es-CO"/>
              </w:rPr>
              <w:t>11%</w:t>
            </w:r>
          </w:p>
        </w:tc>
        <w:tc>
          <w:tcPr>
            <w:tcW w:w="0" w:type="auto"/>
            <w:noWrap/>
            <w:vAlign w:val="center"/>
            <w:hideMark/>
          </w:tcPr>
          <w:p w14:paraId="4EB8E234"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r w:rsidRPr="00E377EA">
              <w:rPr>
                <w:rFonts w:asciiTheme="majorHAnsi" w:hAnsiTheme="majorHAnsi"/>
                <w:sz w:val="14"/>
                <w:szCs w:val="24"/>
                <w:lang w:eastAsia="es-CO"/>
              </w:rPr>
              <w:t>66%</w:t>
            </w:r>
          </w:p>
        </w:tc>
        <w:tc>
          <w:tcPr>
            <w:tcW w:w="0" w:type="auto"/>
            <w:noWrap/>
            <w:vAlign w:val="center"/>
            <w:hideMark/>
          </w:tcPr>
          <w:p w14:paraId="25CAC0FB"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r w:rsidRPr="00E377EA">
              <w:rPr>
                <w:rFonts w:asciiTheme="majorHAnsi" w:hAnsiTheme="majorHAnsi"/>
                <w:sz w:val="14"/>
                <w:szCs w:val="24"/>
                <w:lang w:eastAsia="es-CO"/>
              </w:rPr>
              <w:t>110%</w:t>
            </w:r>
          </w:p>
        </w:tc>
        <w:tc>
          <w:tcPr>
            <w:tcW w:w="0" w:type="auto"/>
            <w:noWrap/>
            <w:vAlign w:val="center"/>
            <w:hideMark/>
          </w:tcPr>
          <w:p w14:paraId="6E5A19B9"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szCs w:val="24"/>
                <w:lang w:eastAsia="es-CO"/>
              </w:rPr>
            </w:pPr>
            <w:r w:rsidRPr="00E377EA">
              <w:rPr>
                <w:rFonts w:asciiTheme="majorHAnsi" w:hAnsiTheme="majorHAnsi"/>
                <w:sz w:val="14"/>
                <w:szCs w:val="24"/>
                <w:lang w:eastAsia="es-CO"/>
              </w:rPr>
              <w:t>116%</w:t>
            </w:r>
          </w:p>
        </w:tc>
        <w:tc>
          <w:tcPr>
            <w:tcW w:w="0" w:type="auto"/>
            <w:noWrap/>
            <w:vAlign w:val="center"/>
            <w:hideMark/>
          </w:tcPr>
          <w:p w14:paraId="1199C56C" w14:textId="77777777"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00FF"/>
                <w:sz w:val="14"/>
                <w:szCs w:val="24"/>
                <w:lang w:eastAsia="es-CO"/>
              </w:rPr>
            </w:pPr>
            <w:r w:rsidRPr="00E377EA">
              <w:rPr>
                <w:rFonts w:asciiTheme="majorHAnsi" w:hAnsiTheme="majorHAnsi"/>
                <w:b/>
                <w:bCs/>
                <w:color w:val="0000FF"/>
                <w:sz w:val="14"/>
                <w:szCs w:val="24"/>
                <w:lang w:eastAsia="es-CO"/>
              </w:rPr>
              <w:t>303%</w:t>
            </w:r>
          </w:p>
        </w:tc>
        <w:tc>
          <w:tcPr>
            <w:tcW w:w="0" w:type="auto"/>
            <w:noWrap/>
            <w:vAlign w:val="center"/>
            <w:hideMark/>
          </w:tcPr>
          <w:p w14:paraId="53377369" w14:textId="4C2228EA"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11535F4F" w14:textId="55886A74"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c>
          <w:tcPr>
            <w:tcW w:w="0" w:type="auto"/>
            <w:noWrap/>
            <w:vAlign w:val="center"/>
            <w:hideMark/>
          </w:tcPr>
          <w:p w14:paraId="467C1D36" w14:textId="6D68CEFC" w:rsidR="00E377EA" w:rsidRPr="00E377EA" w:rsidRDefault="00E377EA" w:rsidP="00E377EA">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14"/>
                <w:lang w:eastAsia="es-CO"/>
              </w:rPr>
            </w:pPr>
          </w:p>
        </w:tc>
      </w:tr>
    </w:tbl>
    <w:p w14:paraId="5511609B" w14:textId="77777777" w:rsidR="002D09FD" w:rsidRDefault="002D09FD" w:rsidP="00CC06A0">
      <w:pPr>
        <w:pStyle w:val="Sinespaciado"/>
        <w:jc w:val="both"/>
        <w:rPr>
          <w:rFonts w:asciiTheme="majorHAnsi" w:hAnsiTheme="majorHAnsi"/>
          <w:lang w:val="es-ES"/>
        </w:rPr>
      </w:pPr>
    </w:p>
    <w:p w14:paraId="3B32E769" w14:textId="77777777" w:rsidR="00744017" w:rsidRDefault="00744017" w:rsidP="00CC06A0">
      <w:pPr>
        <w:pStyle w:val="Sinespaciado"/>
        <w:jc w:val="both"/>
        <w:rPr>
          <w:rFonts w:asciiTheme="majorHAnsi" w:hAnsiTheme="majorHAnsi"/>
          <w:lang w:val="es-ES"/>
        </w:rPr>
      </w:pPr>
    </w:p>
    <w:p w14:paraId="2AE47D63" w14:textId="77777777" w:rsidR="00744017" w:rsidRDefault="00744017" w:rsidP="00CC06A0">
      <w:pPr>
        <w:pStyle w:val="Sinespaciado"/>
        <w:jc w:val="both"/>
        <w:rPr>
          <w:rFonts w:asciiTheme="majorHAnsi" w:hAnsiTheme="majorHAnsi"/>
          <w:lang w:val="es-ES"/>
        </w:rPr>
      </w:pPr>
    </w:p>
    <w:p w14:paraId="57AEA03B" w14:textId="77777777" w:rsidR="00E377EA" w:rsidRDefault="00E377EA" w:rsidP="00CC06A0">
      <w:pPr>
        <w:pStyle w:val="Sinespaciado"/>
        <w:jc w:val="both"/>
        <w:rPr>
          <w:rFonts w:asciiTheme="majorHAnsi" w:hAnsiTheme="majorHAnsi"/>
          <w:lang w:val="es-ES"/>
        </w:rPr>
        <w:sectPr w:rsidR="00E377EA" w:rsidSect="00E377EA">
          <w:pgSz w:w="15840" w:h="12240" w:orient="landscape"/>
          <w:pgMar w:top="1701" w:right="1418" w:bottom="1701" w:left="1418" w:header="709" w:footer="709" w:gutter="0"/>
          <w:cols w:space="708"/>
          <w:docGrid w:linePitch="360"/>
        </w:sectPr>
      </w:pPr>
    </w:p>
    <w:p w14:paraId="1AAB1B6E" w14:textId="44A3B6F5" w:rsidR="00744017" w:rsidRDefault="00744017" w:rsidP="00CC06A0">
      <w:pPr>
        <w:pStyle w:val="Sinespaciado"/>
        <w:jc w:val="both"/>
        <w:rPr>
          <w:rFonts w:asciiTheme="majorHAnsi" w:hAnsiTheme="majorHAnsi"/>
          <w:lang w:val="es-ES"/>
        </w:rPr>
      </w:pPr>
    </w:p>
    <w:p w14:paraId="32BE7026" w14:textId="438798C3" w:rsidR="002732C4" w:rsidRDefault="00B525C8" w:rsidP="002732C4">
      <w:pPr>
        <w:jc w:val="center"/>
        <w:rPr>
          <w:rFonts w:asciiTheme="majorHAnsi" w:hAnsiTheme="majorHAnsi"/>
        </w:rPr>
      </w:pPr>
      <w:r>
        <w:rPr>
          <w:rFonts w:asciiTheme="majorHAnsi" w:hAnsiTheme="majorHAnsi"/>
          <w:b/>
        </w:rPr>
        <w:t>Tabla 1</w:t>
      </w:r>
      <w:r w:rsidR="00381B86">
        <w:rPr>
          <w:rFonts w:asciiTheme="majorHAnsi" w:hAnsiTheme="majorHAnsi"/>
          <w:b/>
        </w:rPr>
        <w:t>2</w:t>
      </w:r>
      <w:r w:rsidR="002732C4" w:rsidRPr="00A73608">
        <w:rPr>
          <w:rFonts w:asciiTheme="majorHAnsi" w:hAnsiTheme="majorHAnsi"/>
          <w:b/>
        </w:rPr>
        <w:t xml:space="preserve">. </w:t>
      </w:r>
      <w:r w:rsidR="002732C4" w:rsidRPr="00B525C8">
        <w:rPr>
          <w:rFonts w:asciiTheme="majorHAnsi" w:hAnsiTheme="majorHAnsi"/>
        </w:rPr>
        <w:t>Presupuesto</w:t>
      </w:r>
      <w:r w:rsidR="00645E88">
        <w:rPr>
          <w:rFonts w:asciiTheme="majorHAnsi" w:hAnsiTheme="majorHAnsi"/>
        </w:rPr>
        <w:t xml:space="preserve"> para la implemen</w:t>
      </w:r>
      <w:r w:rsidR="002732C4" w:rsidRPr="00B525C8">
        <w:rPr>
          <w:rFonts w:asciiTheme="majorHAnsi" w:hAnsiTheme="majorHAnsi"/>
        </w:rPr>
        <w:t>tación del Plan de Asistencia Integral Técnica</w:t>
      </w:r>
    </w:p>
    <w:p w14:paraId="6BDFEAB2" w14:textId="1E664B8B" w:rsidR="004D5AAE" w:rsidRDefault="007D40F5" w:rsidP="002732C4">
      <w:pPr>
        <w:jc w:val="center"/>
        <w:rPr>
          <w:rFonts w:asciiTheme="majorHAnsi" w:hAnsiTheme="majorHAnsi"/>
        </w:rPr>
      </w:pPr>
      <w:r>
        <w:rPr>
          <w:rFonts w:asciiTheme="majorHAnsi" w:hAnsiTheme="majorHAnsi"/>
          <w:highlight w:val="yellow"/>
        </w:rPr>
        <w:t xml:space="preserve">VER </w:t>
      </w:r>
      <w:r w:rsidR="004D5AAE" w:rsidRPr="004D5AAE">
        <w:rPr>
          <w:rFonts w:asciiTheme="majorHAnsi" w:hAnsiTheme="majorHAnsi"/>
          <w:highlight w:val="yellow"/>
        </w:rPr>
        <w:t xml:space="preserve">EXCEL </w:t>
      </w:r>
    </w:p>
    <w:p w14:paraId="08D578C4" w14:textId="77777777" w:rsidR="004D5AAE" w:rsidRDefault="004D5AAE" w:rsidP="002732C4">
      <w:pPr>
        <w:jc w:val="center"/>
        <w:rPr>
          <w:rFonts w:asciiTheme="majorHAnsi" w:hAnsiTheme="majorHAnsi"/>
        </w:rPr>
      </w:pPr>
    </w:p>
    <w:p w14:paraId="15041C67" w14:textId="57BF2258" w:rsidR="00C54FA7" w:rsidRPr="00A73608" w:rsidRDefault="00A23C60" w:rsidP="00EA162D">
      <w:pPr>
        <w:pStyle w:val="Ttulo1"/>
        <w:numPr>
          <w:ilvl w:val="0"/>
          <w:numId w:val="14"/>
        </w:numPr>
      </w:pPr>
      <w:bookmarkStart w:id="92" w:name="_Toc4680884"/>
      <w:r w:rsidRPr="00A73608">
        <w:t>Glosario</w:t>
      </w:r>
      <w:bookmarkEnd w:id="92"/>
    </w:p>
    <w:p w14:paraId="59C25423" w14:textId="77777777" w:rsidR="00C54FA7" w:rsidRPr="00A73608" w:rsidRDefault="00A23C60" w:rsidP="008D0CF4">
      <w:pPr>
        <w:pStyle w:val="Sinespaciado"/>
        <w:jc w:val="both"/>
        <w:rPr>
          <w:rFonts w:asciiTheme="majorHAnsi" w:hAnsiTheme="majorHAnsi"/>
          <w:i/>
          <w:sz w:val="20"/>
        </w:rPr>
      </w:pPr>
      <w:r w:rsidRPr="00A73608">
        <w:rPr>
          <w:rFonts w:asciiTheme="majorHAnsi" w:hAnsiTheme="majorHAnsi"/>
          <w:i/>
          <w:sz w:val="20"/>
        </w:rPr>
        <w:t>.</w:t>
      </w:r>
    </w:p>
    <w:p w14:paraId="0F22AFD0" w14:textId="77777777" w:rsidR="0089398C" w:rsidRPr="00A73608" w:rsidRDefault="0089398C">
      <w:pPr>
        <w:pStyle w:val="Sinespaciado"/>
        <w:jc w:val="both"/>
        <w:rPr>
          <w:rFonts w:asciiTheme="majorHAnsi" w:hAnsiTheme="majorHAnsi"/>
        </w:rPr>
      </w:pPr>
      <w:r w:rsidRPr="00A73608">
        <w:rPr>
          <w:rFonts w:asciiTheme="majorHAnsi" w:hAnsiTheme="majorHAnsi"/>
          <w:i/>
          <w:sz w:val="20"/>
        </w:rPr>
        <w:t>Ver capítulo 3 del presente documento (Marco conceptual)</w:t>
      </w:r>
    </w:p>
    <w:p w14:paraId="0E389C45" w14:textId="2F446901" w:rsidR="00C54FA7" w:rsidRPr="00A73608" w:rsidRDefault="00A23C60" w:rsidP="00EA162D">
      <w:pPr>
        <w:pStyle w:val="Ttulo1"/>
        <w:numPr>
          <w:ilvl w:val="0"/>
          <w:numId w:val="14"/>
        </w:numPr>
      </w:pPr>
      <w:bookmarkStart w:id="93" w:name="_Toc4680885"/>
      <w:r w:rsidRPr="00A73608">
        <w:t>Bibliografía</w:t>
      </w:r>
      <w:bookmarkEnd w:id="93"/>
    </w:p>
    <w:p w14:paraId="2CCFBE7C" w14:textId="77777777" w:rsidR="00822493" w:rsidRPr="00A73608" w:rsidRDefault="00822493" w:rsidP="007D40F5">
      <w:pPr>
        <w:spacing w:after="0"/>
        <w:rPr>
          <w:rFonts w:asciiTheme="majorHAnsi" w:hAnsiTheme="majorHAnsi"/>
        </w:rPr>
      </w:pPr>
    </w:p>
    <w:p w14:paraId="38CB7676" w14:textId="77777777" w:rsidR="00822493" w:rsidRPr="00A73608" w:rsidRDefault="00822493" w:rsidP="007D40F5">
      <w:pPr>
        <w:pStyle w:val="Prrafodelista"/>
        <w:numPr>
          <w:ilvl w:val="0"/>
          <w:numId w:val="7"/>
        </w:numPr>
        <w:shd w:val="clear" w:color="auto" w:fill="FFFFFF"/>
        <w:spacing w:after="0" w:line="253" w:lineRule="atLeast"/>
        <w:rPr>
          <w:rFonts w:asciiTheme="majorHAnsi" w:hAnsiTheme="majorHAnsi" w:cstheme="majorHAnsi"/>
          <w:color w:val="212121"/>
        </w:rPr>
      </w:pPr>
      <w:r w:rsidRPr="00A73608">
        <w:rPr>
          <w:rFonts w:asciiTheme="majorHAnsi" w:hAnsiTheme="majorHAnsi" w:cstheme="majorHAnsi"/>
          <w:color w:val="212121"/>
          <w:lang w:val="es-ES_tradnl"/>
        </w:rPr>
        <w:t>CANO Jairo, Velásquez Jairo, 2012.informe de Consultoría sobre ATA del IICA</w:t>
      </w:r>
    </w:p>
    <w:p w14:paraId="708C576B" w14:textId="77777777" w:rsidR="00822493" w:rsidRPr="00A73608" w:rsidRDefault="00822493" w:rsidP="007D40F5">
      <w:pPr>
        <w:pStyle w:val="Bibliografa"/>
        <w:numPr>
          <w:ilvl w:val="0"/>
          <w:numId w:val="7"/>
        </w:numPr>
        <w:shd w:val="clear" w:color="auto" w:fill="FFFFFF"/>
        <w:spacing w:after="0"/>
        <w:jc w:val="both"/>
        <w:rPr>
          <w:rFonts w:asciiTheme="majorHAnsi" w:hAnsiTheme="majorHAnsi" w:cstheme="majorHAnsi"/>
          <w:color w:val="212121"/>
        </w:rPr>
      </w:pPr>
      <w:r w:rsidRPr="00A73608">
        <w:rPr>
          <w:rFonts w:asciiTheme="majorHAnsi" w:hAnsiTheme="majorHAnsi" w:cstheme="majorHAnsi"/>
          <w:color w:val="212121"/>
          <w:lang w:val="es-ES_tradnl"/>
        </w:rPr>
        <w:t>CEDE, 2007. </w:t>
      </w:r>
      <w:r w:rsidRPr="00A73608">
        <w:rPr>
          <w:rFonts w:asciiTheme="majorHAnsi" w:hAnsiTheme="majorHAnsi" w:cstheme="majorHAnsi"/>
          <w:i/>
          <w:iCs/>
          <w:color w:val="212121"/>
          <w:lang w:val="es-ES_tradnl"/>
        </w:rPr>
        <w:t>Proyecto de Cooperación Técnico FAO-BID - Políticas para la agricultura familiar en América Latina y el Caribe: el caso de Colombia, </w:t>
      </w:r>
      <w:r w:rsidRPr="00A73608">
        <w:rPr>
          <w:rFonts w:asciiTheme="majorHAnsi" w:hAnsiTheme="majorHAnsi" w:cstheme="majorHAnsi"/>
          <w:color w:val="212121"/>
          <w:lang w:val="es-ES_tradnl"/>
        </w:rPr>
        <w:t>Bogotá: s.n.</w:t>
      </w:r>
    </w:p>
    <w:p w14:paraId="530299CF" w14:textId="77777777" w:rsidR="00822493" w:rsidRPr="00A73608" w:rsidRDefault="00822493" w:rsidP="007D40F5">
      <w:pPr>
        <w:pStyle w:val="Bibliografa"/>
        <w:numPr>
          <w:ilvl w:val="0"/>
          <w:numId w:val="7"/>
        </w:numPr>
        <w:shd w:val="clear" w:color="auto" w:fill="FFFFFF"/>
        <w:spacing w:after="0"/>
        <w:jc w:val="both"/>
        <w:rPr>
          <w:rFonts w:asciiTheme="majorHAnsi" w:hAnsiTheme="majorHAnsi" w:cstheme="majorHAnsi"/>
          <w:color w:val="212121"/>
        </w:rPr>
      </w:pPr>
      <w:r w:rsidRPr="00A73608">
        <w:rPr>
          <w:rFonts w:asciiTheme="majorHAnsi" w:hAnsiTheme="majorHAnsi" w:cstheme="majorHAnsi"/>
          <w:color w:val="212121"/>
          <w:lang w:val="es-ES_tradnl"/>
        </w:rPr>
        <w:t>CEPAL, 2015. La protección social de la población rural en Colombia: una propuesta desde la perspectiva de las familias y sus necesidades. </w:t>
      </w:r>
      <w:r w:rsidRPr="00A73608">
        <w:rPr>
          <w:rFonts w:asciiTheme="majorHAnsi" w:hAnsiTheme="majorHAnsi" w:cstheme="majorHAnsi"/>
          <w:i/>
          <w:iCs/>
          <w:color w:val="212121"/>
          <w:lang w:val="es-ES_tradnl"/>
        </w:rPr>
        <w:t>Serie Estudios y Perspectivas, </w:t>
      </w:r>
      <w:r w:rsidRPr="00A73608">
        <w:rPr>
          <w:rFonts w:asciiTheme="majorHAnsi" w:hAnsiTheme="majorHAnsi" w:cstheme="majorHAnsi"/>
          <w:color w:val="212121"/>
          <w:lang w:val="es-ES_tradnl"/>
        </w:rPr>
        <w:t>Issue 32.</w:t>
      </w:r>
    </w:p>
    <w:p w14:paraId="25D37072" w14:textId="77777777" w:rsidR="00822493" w:rsidRPr="00A73608" w:rsidRDefault="00822493" w:rsidP="007D40F5">
      <w:pPr>
        <w:pStyle w:val="Prrafodelista"/>
        <w:numPr>
          <w:ilvl w:val="0"/>
          <w:numId w:val="7"/>
        </w:numPr>
        <w:shd w:val="clear" w:color="auto" w:fill="FFFFFF"/>
        <w:spacing w:after="0" w:line="253" w:lineRule="atLeast"/>
        <w:rPr>
          <w:rFonts w:asciiTheme="majorHAnsi" w:hAnsiTheme="majorHAnsi" w:cstheme="majorHAnsi"/>
          <w:color w:val="212121"/>
        </w:rPr>
      </w:pPr>
      <w:r w:rsidRPr="00A73608">
        <w:rPr>
          <w:rFonts w:asciiTheme="majorHAnsi" w:hAnsiTheme="majorHAnsi" w:cstheme="majorHAnsi"/>
          <w:color w:val="212121"/>
          <w:lang w:val="es-ES_tradnl"/>
        </w:rPr>
        <w:t>CLAVIJO, N. 2014.Antecedentes y Nuevas Perspectivas de la Asistencia Técnica en Colombia. Disponible en línea </w:t>
      </w:r>
      <w:hyperlink r:id="rId18" w:tgtFrame="_blank" w:history="1">
        <w:r w:rsidRPr="00A73608">
          <w:rPr>
            <w:rStyle w:val="Hipervnculo"/>
            <w:rFonts w:asciiTheme="majorHAnsi" w:hAnsiTheme="majorHAnsi" w:cstheme="majorHAnsi"/>
            <w:lang w:val="es-ES_tradnl"/>
          </w:rPr>
          <w:t>www.relaser.org</w:t>
        </w:r>
      </w:hyperlink>
      <w:r w:rsidRPr="00A73608">
        <w:rPr>
          <w:rFonts w:asciiTheme="majorHAnsi" w:hAnsiTheme="majorHAnsi" w:cstheme="majorHAnsi"/>
          <w:color w:val="212121"/>
          <w:lang w:val="es-ES_tradnl"/>
        </w:rPr>
        <w:t> </w:t>
      </w:r>
    </w:p>
    <w:p w14:paraId="3B8D7B83" w14:textId="77777777" w:rsidR="00822493" w:rsidRPr="00A73608" w:rsidRDefault="00822493" w:rsidP="007D40F5">
      <w:pPr>
        <w:pStyle w:val="Bibliografa"/>
        <w:numPr>
          <w:ilvl w:val="0"/>
          <w:numId w:val="7"/>
        </w:numPr>
        <w:shd w:val="clear" w:color="auto" w:fill="FFFFFF"/>
        <w:spacing w:after="0"/>
        <w:jc w:val="both"/>
        <w:rPr>
          <w:rFonts w:asciiTheme="majorHAnsi" w:hAnsiTheme="majorHAnsi" w:cstheme="majorHAnsi"/>
          <w:color w:val="212121"/>
        </w:rPr>
      </w:pPr>
      <w:r w:rsidRPr="00A73608">
        <w:rPr>
          <w:rFonts w:asciiTheme="majorHAnsi" w:hAnsiTheme="majorHAnsi" w:cstheme="majorHAnsi"/>
          <w:color w:val="212121"/>
          <w:lang w:val="es-ES_tradnl"/>
        </w:rPr>
        <w:t xml:space="preserve">DANE, 2014.  Censo Nacional </w:t>
      </w:r>
      <w:r w:rsidR="00D042CE" w:rsidRPr="00A73608">
        <w:rPr>
          <w:rFonts w:asciiTheme="majorHAnsi" w:hAnsiTheme="majorHAnsi" w:cstheme="majorHAnsi"/>
          <w:color w:val="212121"/>
          <w:lang w:val="es-ES_tradnl"/>
        </w:rPr>
        <w:t>Agropecuario</w:t>
      </w:r>
      <w:r w:rsidRPr="00A73608">
        <w:rPr>
          <w:rFonts w:asciiTheme="majorHAnsi" w:hAnsiTheme="majorHAnsi" w:cstheme="majorHAnsi"/>
          <w:color w:val="212121"/>
          <w:lang w:val="es-ES_tradnl"/>
        </w:rPr>
        <w:t xml:space="preserve">. Disponible en </w:t>
      </w:r>
      <w:r w:rsidR="00D042CE" w:rsidRPr="00A73608">
        <w:rPr>
          <w:rFonts w:asciiTheme="majorHAnsi" w:hAnsiTheme="majorHAnsi" w:cstheme="majorHAnsi"/>
          <w:color w:val="212121"/>
          <w:lang w:val="es-ES_tradnl"/>
        </w:rPr>
        <w:t>línea</w:t>
      </w:r>
      <w:r w:rsidRPr="00A73608">
        <w:rPr>
          <w:rFonts w:asciiTheme="majorHAnsi" w:hAnsiTheme="majorHAnsi" w:cstheme="majorHAnsi"/>
          <w:color w:val="212121"/>
          <w:lang w:val="es-ES_tradnl"/>
        </w:rPr>
        <w:t>. www.dane.gov.co</w:t>
      </w:r>
    </w:p>
    <w:p w14:paraId="3DC82FF9" w14:textId="77777777" w:rsidR="00822493" w:rsidRDefault="00822493" w:rsidP="007D40F5">
      <w:pPr>
        <w:pStyle w:val="Bibliografa"/>
        <w:numPr>
          <w:ilvl w:val="0"/>
          <w:numId w:val="7"/>
        </w:numPr>
        <w:shd w:val="clear" w:color="auto" w:fill="FFFFFF"/>
        <w:spacing w:after="0"/>
        <w:jc w:val="both"/>
        <w:rPr>
          <w:rFonts w:asciiTheme="majorHAnsi" w:hAnsiTheme="majorHAnsi" w:cstheme="majorHAnsi"/>
          <w:color w:val="212121"/>
          <w:lang w:val="es-ES_tradnl"/>
        </w:rPr>
      </w:pPr>
      <w:r w:rsidRPr="00A73608">
        <w:rPr>
          <w:rFonts w:asciiTheme="majorHAnsi" w:hAnsiTheme="majorHAnsi" w:cstheme="majorHAnsi"/>
          <w:color w:val="212121"/>
          <w:lang w:val="es-ES_tradnl"/>
        </w:rPr>
        <w:t>DANE, 2015i. </w:t>
      </w:r>
      <w:r w:rsidRPr="00A73608">
        <w:rPr>
          <w:rFonts w:asciiTheme="majorHAnsi" w:hAnsiTheme="majorHAnsi" w:cstheme="majorHAnsi"/>
          <w:i/>
          <w:iCs/>
          <w:color w:val="212121"/>
          <w:lang w:val="es-ES_tradnl"/>
        </w:rPr>
        <w:t>Boletín 6 del 27 de octubre de 2015 – Asistencia Técnica e Inventario agropecuario en las unidades de producción agropecuaria (UPA), </w:t>
      </w:r>
      <w:r w:rsidRPr="00A73608">
        <w:rPr>
          <w:rFonts w:asciiTheme="majorHAnsi" w:hAnsiTheme="majorHAnsi" w:cstheme="majorHAnsi"/>
          <w:color w:val="212121"/>
          <w:lang w:val="es-ES_tradnl"/>
        </w:rPr>
        <w:t>Bogotá: 3er Censo Nacional Agropecuario 2014.</w:t>
      </w:r>
    </w:p>
    <w:p w14:paraId="311D352F" w14:textId="77777777" w:rsidR="0050659D" w:rsidRPr="00A73608" w:rsidRDefault="0050659D" w:rsidP="007D40F5">
      <w:pPr>
        <w:pStyle w:val="Bibliografa"/>
        <w:numPr>
          <w:ilvl w:val="0"/>
          <w:numId w:val="7"/>
        </w:numPr>
        <w:shd w:val="clear" w:color="auto" w:fill="FFFFFF"/>
        <w:spacing w:after="0"/>
        <w:ind w:left="357" w:hanging="357"/>
        <w:jc w:val="both"/>
        <w:rPr>
          <w:rFonts w:asciiTheme="majorHAnsi" w:hAnsiTheme="majorHAnsi" w:cstheme="majorHAnsi"/>
          <w:color w:val="212121"/>
        </w:rPr>
      </w:pPr>
      <w:r w:rsidRPr="00A73608">
        <w:rPr>
          <w:rFonts w:asciiTheme="majorHAnsi" w:hAnsiTheme="majorHAnsi" w:cstheme="majorHAnsi"/>
          <w:color w:val="212121"/>
          <w:lang w:val="es-ES_tradnl"/>
        </w:rPr>
        <w:t>Latina y el Caribe: Conceptos, instrumentos y casos de cooperación técnica. San José, Costa Rica.</w:t>
      </w:r>
    </w:p>
    <w:p w14:paraId="43E54610" w14:textId="77777777" w:rsidR="00822493" w:rsidRPr="00A73608" w:rsidRDefault="00822493" w:rsidP="007D40F5">
      <w:pPr>
        <w:pStyle w:val="Bibliografa"/>
        <w:numPr>
          <w:ilvl w:val="0"/>
          <w:numId w:val="7"/>
        </w:numPr>
        <w:shd w:val="clear" w:color="auto" w:fill="FFFFFF"/>
        <w:spacing w:after="0"/>
        <w:jc w:val="both"/>
        <w:rPr>
          <w:rFonts w:asciiTheme="majorHAnsi" w:hAnsiTheme="majorHAnsi" w:cstheme="majorHAnsi"/>
          <w:color w:val="212121"/>
        </w:rPr>
      </w:pPr>
      <w:r w:rsidRPr="00A73608">
        <w:rPr>
          <w:rFonts w:asciiTheme="majorHAnsi" w:hAnsiTheme="majorHAnsi" w:cstheme="majorHAnsi"/>
          <w:color w:val="212121"/>
          <w:lang w:val="es-ES_tradnl"/>
        </w:rPr>
        <w:t xml:space="preserve">Ministerio de Agricultura y Desarrollo Rural, Ajuste a la </w:t>
      </w:r>
      <w:r w:rsidR="00D042CE" w:rsidRPr="00A73608">
        <w:rPr>
          <w:rFonts w:asciiTheme="majorHAnsi" w:hAnsiTheme="majorHAnsi" w:cstheme="majorHAnsi"/>
          <w:color w:val="212121"/>
          <w:lang w:val="es-ES_tradnl"/>
        </w:rPr>
        <w:t>política</w:t>
      </w:r>
      <w:r w:rsidRPr="00A73608">
        <w:rPr>
          <w:rFonts w:asciiTheme="majorHAnsi" w:hAnsiTheme="majorHAnsi" w:cstheme="majorHAnsi"/>
          <w:color w:val="212121"/>
          <w:lang w:val="es-ES_tradnl"/>
        </w:rPr>
        <w:t xml:space="preserve"> de Asistencia Técnica Integral. 2016</w:t>
      </w:r>
    </w:p>
    <w:p w14:paraId="4DBDAF26" w14:textId="77777777" w:rsidR="00822493" w:rsidRPr="00A73608" w:rsidRDefault="00822493" w:rsidP="007D40F5">
      <w:pPr>
        <w:pStyle w:val="Bibliografa"/>
        <w:numPr>
          <w:ilvl w:val="0"/>
          <w:numId w:val="7"/>
        </w:numPr>
        <w:shd w:val="clear" w:color="auto" w:fill="FFFFFF"/>
        <w:spacing w:after="0"/>
        <w:jc w:val="both"/>
        <w:rPr>
          <w:rFonts w:asciiTheme="majorHAnsi" w:hAnsiTheme="majorHAnsi" w:cstheme="majorHAnsi"/>
          <w:color w:val="212121"/>
        </w:rPr>
      </w:pPr>
      <w:r w:rsidRPr="00A73608">
        <w:rPr>
          <w:rFonts w:asciiTheme="majorHAnsi" w:hAnsiTheme="majorHAnsi" w:cstheme="majorHAnsi"/>
          <w:color w:val="212121"/>
          <w:lang w:val="es-ES_tradnl"/>
        </w:rPr>
        <w:t>Misión para la Transformación del Campo Colombiano, 2015i. Informe Detallado - Capítulo 9. Estrategia de Inclusión Productiva y Agricultura Familiar, s.l.: s.n.</w:t>
      </w:r>
    </w:p>
    <w:p w14:paraId="00F52EC2" w14:textId="77777777" w:rsidR="00822493" w:rsidRPr="00A73608" w:rsidRDefault="00822493" w:rsidP="007D40F5">
      <w:pPr>
        <w:pStyle w:val="Bibliografa"/>
        <w:numPr>
          <w:ilvl w:val="0"/>
          <w:numId w:val="7"/>
        </w:numPr>
        <w:shd w:val="clear" w:color="auto" w:fill="FFFFFF"/>
        <w:spacing w:after="0"/>
        <w:jc w:val="both"/>
        <w:rPr>
          <w:rFonts w:asciiTheme="majorHAnsi" w:hAnsiTheme="majorHAnsi" w:cstheme="majorHAnsi"/>
          <w:color w:val="212121"/>
        </w:rPr>
      </w:pPr>
      <w:r w:rsidRPr="00A73608">
        <w:rPr>
          <w:rFonts w:asciiTheme="majorHAnsi" w:hAnsiTheme="majorHAnsi" w:cstheme="majorHAnsi"/>
          <w:color w:val="212121"/>
          <w:lang w:val="es-ES_tradnl"/>
        </w:rPr>
        <w:t>Misión para la Transformación del Campo Colombiano, 2015o. Informe Detallado - Capítulo 17. Estrategia de Ciencia, Tecnología e Innovación Agropecuaria y de Acompañamiento Integral., s.l.: s.n.</w:t>
      </w:r>
    </w:p>
    <w:p w14:paraId="17B0DA7D" w14:textId="77777777" w:rsidR="0050659D" w:rsidRDefault="0050659D" w:rsidP="007D40F5">
      <w:pPr>
        <w:pStyle w:val="Prrafodelista"/>
        <w:numPr>
          <w:ilvl w:val="0"/>
          <w:numId w:val="7"/>
        </w:numPr>
        <w:shd w:val="clear" w:color="auto" w:fill="FFFFFF"/>
        <w:spacing w:after="0"/>
        <w:contextualSpacing w:val="0"/>
        <w:jc w:val="both"/>
        <w:rPr>
          <w:rFonts w:asciiTheme="majorHAnsi" w:hAnsiTheme="majorHAnsi" w:cstheme="majorHAnsi"/>
          <w:color w:val="212121"/>
        </w:rPr>
      </w:pPr>
      <w:r w:rsidRPr="00A73608">
        <w:rPr>
          <w:rFonts w:asciiTheme="majorHAnsi" w:hAnsiTheme="majorHAnsi" w:cstheme="majorHAnsi"/>
          <w:color w:val="212121"/>
        </w:rPr>
        <w:t>Perfetti, Molina y Gallego (2009), Propuesta de una política nacional de Asistencia Técnica Agropecuaria ATA, Programa MIDAS. USAID, Bogotá, diciembre.</w:t>
      </w:r>
    </w:p>
    <w:p w14:paraId="2B6B6698" w14:textId="77777777" w:rsidR="00C54FA7" w:rsidRPr="00A73608" w:rsidRDefault="00A23C60" w:rsidP="00EA162D">
      <w:pPr>
        <w:pStyle w:val="Ttulo1"/>
        <w:numPr>
          <w:ilvl w:val="0"/>
          <w:numId w:val="14"/>
        </w:numPr>
      </w:pPr>
      <w:bookmarkStart w:id="94" w:name="_Toc4680886"/>
      <w:r w:rsidRPr="00A73608">
        <w:t>Anexos</w:t>
      </w:r>
      <w:bookmarkEnd w:id="94"/>
    </w:p>
    <w:p w14:paraId="524B8DDD" w14:textId="77777777" w:rsidR="00C54FA7" w:rsidRPr="00A73608" w:rsidRDefault="00C54FA7">
      <w:pPr>
        <w:pStyle w:val="Sinespaciado"/>
        <w:jc w:val="both"/>
        <w:rPr>
          <w:rFonts w:asciiTheme="majorHAnsi" w:hAnsiTheme="majorHAnsi"/>
        </w:rPr>
      </w:pPr>
    </w:p>
    <w:p w14:paraId="66D6D516" w14:textId="77777777" w:rsidR="00F52125" w:rsidRPr="00A73608" w:rsidRDefault="009E555B" w:rsidP="009E555B">
      <w:pPr>
        <w:pStyle w:val="Bibliografa"/>
        <w:shd w:val="clear" w:color="auto" w:fill="FFFFFF"/>
        <w:spacing w:after="200"/>
        <w:jc w:val="both"/>
        <w:rPr>
          <w:rFonts w:asciiTheme="majorHAnsi" w:hAnsiTheme="majorHAnsi" w:cstheme="majorHAnsi"/>
          <w:color w:val="212121"/>
          <w:lang w:val="es-ES_tradnl"/>
        </w:rPr>
      </w:pPr>
      <w:r w:rsidRPr="00A73608">
        <w:rPr>
          <w:rFonts w:asciiTheme="majorHAnsi" w:hAnsiTheme="majorHAnsi" w:cstheme="majorHAnsi"/>
          <w:color w:val="212121"/>
        </w:rPr>
        <w:t xml:space="preserve">Anexo 1. </w:t>
      </w:r>
      <w:r w:rsidR="00024C62" w:rsidRPr="00A73608">
        <w:rPr>
          <w:rFonts w:asciiTheme="majorHAnsi" w:hAnsiTheme="majorHAnsi" w:cstheme="majorHAnsi"/>
          <w:color w:val="212121"/>
          <w:lang w:val="es-ES_tradnl"/>
        </w:rPr>
        <w:t xml:space="preserve">Documento Excel con información del Capítulo 8 de Financiamiento. </w:t>
      </w:r>
    </w:p>
    <w:sectPr w:rsidR="00F52125" w:rsidRPr="00A73608" w:rsidSect="009E555B">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6370E" w16cid:durableId="1F098318"/>
  <w16cid:commentId w16cid:paraId="10664EA2" w16cid:durableId="1F058BDC"/>
  <w16cid:commentId w16cid:paraId="2FF6D2A7" w16cid:durableId="1F057FE1"/>
  <w16cid:commentId w16cid:paraId="184D92FF" w16cid:durableId="1F057B52"/>
  <w16cid:commentId w16cid:paraId="42EB0430" w16cid:durableId="1F057F91"/>
  <w16cid:commentId w16cid:paraId="1FB1AD3F" w16cid:durableId="1F057FD3"/>
  <w16cid:commentId w16cid:paraId="61725749" w16cid:durableId="1F0580E0"/>
  <w16cid:commentId w16cid:paraId="11B260FE" w16cid:durableId="1F097992"/>
  <w16cid:commentId w16cid:paraId="4816A264" w16cid:durableId="1F058327"/>
  <w16cid:commentId w16cid:paraId="68614615" w16cid:durableId="1F0583A8"/>
  <w16cid:commentId w16cid:paraId="7F1BB461" w16cid:durableId="1F058446"/>
  <w16cid:commentId w16cid:paraId="78E3E02A" w16cid:durableId="1F058512"/>
  <w16cid:commentId w16cid:paraId="10655165" w16cid:durableId="1F05866A"/>
  <w16cid:commentId w16cid:paraId="70B2E96C" w16cid:durableId="1F0587FB"/>
  <w16cid:commentId w16cid:paraId="3DD61932" w16cid:durableId="1F05891E"/>
  <w16cid:commentId w16cid:paraId="39B5B312" w16cid:durableId="1F058999"/>
  <w16cid:commentId w16cid:paraId="11A87653" w16cid:durableId="1F058AAB"/>
  <w16cid:commentId w16cid:paraId="460D320B" w16cid:durableId="1F058B9C"/>
  <w16cid:commentId w16cid:paraId="00F4409E" w16cid:durableId="1F058B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1406E" w14:textId="77777777" w:rsidR="00144CA1" w:rsidRDefault="00144CA1">
      <w:pPr>
        <w:spacing w:after="0" w:line="240" w:lineRule="auto"/>
      </w:pPr>
      <w:r>
        <w:separator/>
      </w:r>
    </w:p>
  </w:endnote>
  <w:endnote w:type="continuationSeparator" w:id="0">
    <w:p w14:paraId="6F7E30D5" w14:textId="77777777" w:rsidR="00144CA1" w:rsidRDefault="0014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543137"/>
      <w:docPartObj>
        <w:docPartGallery w:val="Page Numbers (Bottom of Page)"/>
        <w:docPartUnique/>
      </w:docPartObj>
    </w:sdtPr>
    <w:sdtEndPr>
      <w:rPr>
        <w:noProof/>
      </w:rPr>
    </w:sdtEndPr>
    <w:sdtContent>
      <w:p w14:paraId="0ABB4253" w14:textId="77777777" w:rsidR="007F7D88" w:rsidRDefault="007F7D88">
        <w:pPr>
          <w:pStyle w:val="Piedepgina"/>
          <w:jc w:val="center"/>
        </w:pPr>
        <w:r>
          <w:fldChar w:fldCharType="begin"/>
        </w:r>
        <w:r>
          <w:instrText xml:space="preserve"> PAGE   \* MERGEFORMAT </w:instrText>
        </w:r>
        <w:r>
          <w:fldChar w:fldCharType="separate"/>
        </w:r>
        <w:r w:rsidR="00BB4C79">
          <w:rPr>
            <w:noProof/>
          </w:rPr>
          <w:t>27</w:t>
        </w:r>
        <w:r>
          <w:rPr>
            <w:noProof/>
          </w:rPr>
          <w:fldChar w:fldCharType="end"/>
        </w:r>
      </w:p>
    </w:sdtContent>
  </w:sdt>
  <w:p w14:paraId="4CEC29FE" w14:textId="77777777" w:rsidR="007F7D88" w:rsidRDefault="007F7D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ED9A8" w14:textId="77777777" w:rsidR="00144CA1" w:rsidRDefault="00144CA1">
      <w:pPr>
        <w:spacing w:after="0" w:line="240" w:lineRule="auto"/>
      </w:pPr>
      <w:r>
        <w:separator/>
      </w:r>
    </w:p>
  </w:footnote>
  <w:footnote w:type="continuationSeparator" w:id="0">
    <w:p w14:paraId="388E1C62" w14:textId="77777777" w:rsidR="00144CA1" w:rsidRDefault="00144CA1">
      <w:pPr>
        <w:spacing w:after="0" w:line="240" w:lineRule="auto"/>
      </w:pPr>
      <w:r>
        <w:continuationSeparator/>
      </w:r>
    </w:p>
  </w:footnote>
  <w:footnote w:id="1">
    <w:p w14:paraId="65D24933" w14:textId="77777777" w:rsidR="007F7D88" w:rsidRPr="00097118" w:rsidRDefault="007F7D88" w:rsidP="00B036A2">
      <w:pPr>
        <w:pStyle w:val="Textoindependiente"/>
        <w:spacing w:line="242" w:lineRule="auto"/>
        <w:ind w:left="122" w:right="49"/>
        <w:jc w:val="both"/>
        <w:rPr>
          <w:sz w:val="18"/>
          <w:szCs w:val="18"/>
          <w:lang w:val="es-CO"/>
        </w:rPr>
      </w:pPr>
      <w:r w:rsidRPr="00B036A2">
        <w:rPr>
          <w:rFonts w:asciiTheme="majorHAnsi" w:hAnsiTheme="majorHAnsi" w:cs="Calibri"/>
          <w:sz w:val="18"/>
          <w:szCs w:val="18"/>
          <w:lang w:val="es-CO"/>
        </w:rPr>
        <w:footnoteRef/>
      </w:r>
      <w:r w:rsidRPr="00B036A2">
        <w:rPr>
          <w:rFonts w:asciiTheme="majorHAnsi" w:hAnsiTheme="majorHAnsi" w:cs="Calibri"/>
          <w:sz w:val="18"/>
          <w:szCs w:val="18"/>
          <w:lang w:val="es-CO"/>
        </w:rPr>
        <w:t xml:space="preserve"> Se basa de la información obtenida de un informe de Consultoría sobre ATA del IICA . Consultores: Jairo Cano, Jairo Velásquez, Carolina Ulloa, Ricardo Rodríguez y Paula Andrea Gallego. 2012.</w:t>
      </w:r>
    </w:p>
  </w:footnote>
  <w:footnote w:id="2">
    <w:p w14:paraId="4F4F1606" w14:textId="77777777" w:rsidR="007F7D88" w:rsidRPr="00B036A2" w:rsidRDefault="007F7D88" w:rsidP="0062434F">
      <w:pPr>
        <w:pStyle w:val="Textonotapie"/>
        <w:rPr>
          <w:rFonts w:asciiTheme="majorHAnsi" w:hAnsiTheme="majorHAnsi" w:cstheme="majorHAnsi"/>
          <w:sz w:val="18"/>
          <w:szCs w:val="18"/>
        </w:rPr>
      </w:pPr>
      <w:r w:rsidRPr="00B036A2">
        <w:rPr>
          <w:rStyle w:val="Refdenotaalpie"/>
          <w:rFonts w:asciiTheme="majorHAnsi" w:hAnsiTheme="majorHAnsi" w:cstheme="majorHAnsi"/>
          <w:sz w:val="18"/>
          <w:szCs w:val="18"/>
        </w:rPr>
        <w:footnoteRef/>
      </w:r>
      <w:r w:rsidRPr="00B036A2">
        <w:rPr>
          <w:rFonts w:asciiTheme="majorHAnsi" w:hAnsiTheme="majorHAnsi" w:cstheme="majorHAnsi"/>
          <w:sz w:val="18"/>
          <w:szCs w:val="18"/>
        </w:rPr>
        <w:t xml:space="preserve"> Tomado de: Antecedentes y Nuevas Perspectivas de la Asistencia Técnica en Colombia. Universidad Javeriana. Neidy Clavijo Ponce</w:t>
      </w:r>
    </w:p>
  </w:footnote>
  <w:footnote w:id="3">
    <w:p w14:paraId="0BF99675" w14:textId="77777777" w:rsidR="007F7D88" w:rsidRPr="006037E5" w:rsidRDefault="007F7D88" w:rsidP="006D2769">
      <w:pPr>
        <w:pStyle w:val="Textonotapie"/>
        <w:rPr>
          <w:sz w:val="16"/>
          <w:szCs w:val="16"/>
        </w:rPr>
      </w:pPr>
      <w:r w:rsidRPr="00283215">
        <w:rPr>
          <w:rStyle w:val="Refdenotaalpie"/>
          <w:rFonts w:asciiTheme="majorHAnsi" w:hAnsiTheme="majorHAnsi" w:cstheme="majorHAnsi"/>
          <w:sz w:val="18"/>
          <w:szCs w:val="18"/>
        </w:rPr>
        <w:footnoteRef/>
      </w:r>
      <w:r w:rsidRPr="00283215">
        <w:rPr>
          <w:rFonts w:asciiTheme="majorHAnsi" w:hAnsiTheme="majorHAnsi" w:cstheme="majorHAnsi"/>
          <w:sz w:val="18"/>
          <w:szCs w:val="18"/>
        </w:rPr>
        <w:t xml:space="preserve"> Unidad de la organización de la producción agropecuaria.</w:t>
      </w:r>
    </w:p>
  </w:footnote>
  <w:footnote w:id="4">
    <w:p w14:paraId="010DBEEE" w14:textId="72AC314C" w:rsidR="007F7D88" w:rsidRPr="00283215" w:rsidRDefault="007F7D88" w:rsidP="00283215">
      <w:pPr>
        <w:spacing w:after="0" w:line="278" w:lineRule="auto"/>
        <w:ind w:right="1801"/>
        <w:jc w:val="both"/>
        <w:rPr>
          <w:rFonts w:asciiTheme="majorHAnsi" w:hAnsiTheme="majorHAnsi" w:cstheme="majorHAnsi"/>
          <w:sz w:val="18"/>
          <w:szCs w:val="18"/>
        </w:rPr>
      </w:pPr>
      <w:r w:rsidRPr="00283215">
        <w:rPr>
          <w:rStyle w:val="Refdenotaalpie"/>
          <w:rFonts w:asciiTheme="majorHAnsi" w:hAnsiTheme="majorHAnsi" w:cstheme="majorHAnsi"/>
          <w:sz w:val="18"/>
          <w:szCs w:val="18"/>
        </w:rPr>
        <w:footnoteRef/>
      </w:r>
      <w:r w:rsidRPr="00283215">
        <w:rPr>
          <w:rFonts w:asciiTheme="majorHAnsi" w:hAnsiTheme="majorHAnsi" w:cstheme="majorHAnsi"/>
          <w:sz w:val="18"/>
          <w:szCs w:val="18"/>
        </w:rPr>
        <w:t xml:space="preserve">MADR. Propuesta para la implementación de la Asistencia Técnica Integral </w:t>
      </w:r>
      <w:r>
        <w:rPr>
          <w:rFonts w:asciiTheme="majorHAnsi" w:hAnsiTheme="majorHAnsi" w:cstheme="majorHAnsi"/>
          <w:sz w:val="18"/>
          <w:szCs w:val="18"/>
        </w:rPr>
        <w:t>e</w:t>
      </w:r>
      <w:r w:rsidRPr="00283215">
        <w:rPr>
          <w:rFonts w:asciiTheme="majorHAnsi" w:hAnsiTheme="majorHAnsi" w:cstheme="majorHAnsi"/>
          <w:sz w:val="18"/>
          <w:szCs w:val="18"/>
        </w:rPr>
        <w:t>specializada en el territorio nacional. 2013.</w:t>
      </w:r>
    </w:p>
    <w:p w14:paraId="07625B53" w14:textId="77777777" w:rsidR="007F7D88" w:rsidRDefault="007F7D88" w:rsidP="006D2769">
      <w:pPr>
        <w:pStyle w:val="Textonotapie"/>
      </w:pPr>
    </w:p>
  </w:footnote>
  <w:footnote w:id="5">
    <w:p w14:paraId="63562EBB" w14:textId="77777777" w:rsidR="007F7D88" w:rsidRPr="00283215" w:rsidRDefault="007F7D88" w:rsidP="001973C5">
      <w:pPr>
        <w:spacing w:after="0"/>
        <w:ind w:right="101"/>
        <w:jc w:val="both"/>
        <w:rPr>
          <w:rFonts w:asciiTheme="majorHAnsi" w:hAnsiTheme="majorHAnsi" w:cstheme="majorHAnsi"/>
          <w:sz w:val="18"/>
          <w:szCs w:val="18"/>
        </w:rPr>
      </w:pPr>
      <w:r w:rsidRPr="00283215">
        <w:rPr>
          <w:rStyle w:val="Refdenotaalpie"/>
          <w:rFonts w:asciiTheme="majorHAnsi" w:hAnsiTheme="majorHAnsi" w:cstheme="majorHAnsi"/>
          <w:sz w:val="18"/>
          <w:szCs w:val="18"/>
        </w:rPr>
        <w:footnoteRef/>
      </w:r>
      <w:r w:rsidRPr="00283215">
        <w:rPr>
          <w:rFonts w:asciiTheme="majorHAnsi" w:hAnsiTheme="majorHAnsi" w:cstheme="majorHAnsi"/>
          <w:sz w:val="18"/>
          <w:szCs w:val="18"/>
        </w:rPr>
        <w:t xml:space="preserve"> Son aportes realizados por el sector primario que en casos y condiciones especiales, por razones de interés general, impone la ley a un subsector agropecuario o pesquero para beneficio del mismo y no hacen parte del Presupuesto General de la Nación. Estos recursos deben ser invertidos en: investigación y transferencia de tecnología, asesoría y asistencia técnica; adecuación de la producción y control sanitario; organización y desarrollo de la comercialización; fomento a las exportaciones y promoción del consumo; apoyo a la regulación de la oferta y la demanda para proteger a los productores contra las oscilaciones anormales de los precios.</w:t>
      </w:r>
    </w:p>
  </w:footnote>
  <w:footnote w:id="6">
    <w:p w14:paraId="7C4BAE62" w14:textId="77777777" w:rsidR="007F7D88" w:rsidRPr="00C87B50" w:rsidRDefault="007F7D88" w:rsidP="006D2769">
      <w:pPr>
        <w:pStyle w:val="Textonotapie"/>
        <w:tabs>
          <w:tab w:val="left" w:pos="8931"/>
        </w:tabs>
        <w:ind w:right="-40"/>
        <w:jc w:val="both"/>
        <w:rPr>
          <w:sz w:val="18"/>
        </w:rPr>
      </w:pPr>
      <w:r w:rsidRPr="00283215">
        <w:rPr>
          <w:rStyle w:val="Refdenotaalpie"/>
          <w:rFonts w:asciiTheme="majorHAnsi" w:hAnsiTheme="majorHAnsi" w:cstheme="majorHAnsi"/>
          <w:sz w:val="18"/>
          <w:szCs w:val="18"/>
        </w:rPr>
        <w:footnoteRef/>
      </w:r>
      <w:r w:rsidRPr="00283215">
        <w:rPr>
          <w:rFonts w:asciiTheme="majorHAnsi" w:hAnsiTheme="majorHAnsi" w:cstheme="majorHAnsi"/>
          <w:sz w:val="18"/>
          <w:szCs w:val="18"/>
        </w:rPr>
        <w:t xml:space="preserve"> Según</w:t>
      </w:r>
      <w:r w:rsidRPr="00283215">
        <w:rPr>
          <w:rFonts w:asciiTheme="majorHAnsi" w:hAnsiTheme="majorHAnsi" w:cstheme="majorHAnsi"/>
          <w:spacing w:val="-5"/>
          <w:sz w:val="18"/>
          <w:szCs w:val="18"/>
        </w:rPr>
        <w:t xml:space="preserve"> </w:t>
      </w:r>
      <w:r w:rsidRPr="00283215">
        <w:rPr>
          <w:rFonts w:asciiTheme="majorHAnsi" w:hAnsiTheme="majorHAnsi" w:cstheme="majorHAnsi"/>
          <w:sz w:val="18"/>
          <w:szCs w:val="18"/>
        </w:rPr>
        <w:t>el</w:t>
      </w:r>
      <w:r w:rsidRPr="00283215">
        <w:rPr>
          <w:rFonts w:asciiTheme="majorHAnsi" w:hAnsiTheme="majorHAnsi" w:cstheme="majorHAnsi"/>
          <w:spacing w:val="-1"/>
          <w:sz w:val="18"/>
          <w:szCs w:val="18"/>
        </w:rPr>
        <w:t xml:space="preserve"> </w:t>
      </w:r>
      <w:r w:rsidRPr="00283215">
        <w:rPr>
          <w:rFonts w:asciiTheme="majorHAnsi" w:hAnsiTheme="majorHAnsi" w:cstheme="majorHAnsi"/>
          <w:sz w:val="18"/>
          <w:szCs w:val="18"/>
        </w:rPr>
        <w:t>artículo</w:t>
      </w:r>
      <w:r w:rsidRPr="00283215">
        <w:rPr>
          <w:rFonts w:asciiTheme="majorHAnsi" w:hAnsiTheme="majorHAnsi" w:cstheme="majorHAnsi"/>
          <w:spacing w:val="-2"/>
          <w:sz w:val="18"/>
          <w:szCs w:val="18"/>
        </w:rPr>
        <w:t xml:space="preserve"> </w:t>
      </w:r>
      <w:r w:rsidRPr="00283215">
        <w:rPr>
          <w:rFonts w:asciiTheme="majorHAnsi" w:hAnsiTheme="majorHAnsi" w:cstheme="majorHAnsi"/>
          <w:sz w:val="18"/>
          <w:szCs w:val="18"/>
        </w:rPr>
        <w:t>16</w:t>
      </w:r>
      <w:r w:rsidRPr="00283215">
        <w:rPr>
          <w:rFonts w:asciiTheme="majorHAnsi" w:hAnsiTheme="majorHAnsi" w:cstheme="majorHAnsi"/>
          <w:spacing w:val="-5"/>
          <w:sz w:val="18"/>
          <w:szCs w:val="18"/>
        </w:rPr>
        <w:t xml:space="preserve"> </w:t>
      </w:r>
      <w:r w:rsidRPr="00283215">
        <w:rPr>
          <w:rFonts w:asciiTheme="majorHAnsi" w:hAnsiTheme="majorHAnsi" w:cstheme="majorHAnsi"/>
          <w:sz w:val="18"/>
          <w:szCs w:val="18"/>
        </w:rPr>
        <w:t>de</w:t>
      </w:r>
      <w:r w:rsidRPr="00283215">
        <w:rPr>
          <w:rFonts w:asciiTheme="majorHAnsi" w:hAnsiTheme="majorHAnsi" w:cstheme="majorHAnsi"/>
          <w:spacing w:val="-4"/>
          <w:sz w:val="18"/>
          <w:szCs w:val="18"/>
        </w:rPr>
        <w:t xml:space="preserve"> </w:t>
      </w:r>
      <w:r w:rsidRPr="00283215">
        <w:rPr>
          <w:rFonts w:asciiTheme="majorHAnsi" w:hAnsiTheme="majorHAnsi" w:cstheme="majorHAnsi"/>
          <w:sz w:val="18"/>
          <w:szCs w:val="18"/>
        </w:rPr>
        <w:t>esta</w:t>
      </w:r>
      <w:r w:rsidRPr="00283215">
        <w:rPr>
          <w:rFonts w:asciiTheme="majorHAnsi" w:hAnsiTheme="majorHAnsi" w:cstheme="majorHAnsi"/>
          <w:spacing w:val="-4"/>
          <w:sz w:val="18"/>
          <w:szCs w:val="18"/>
        </w:rPr>
        <w:t xml:space="preserve"> </w:t>
      </w:r>
      <w:r w:rsidRPr="00283215">
        <w:rPr>
          <w:rFonts w:asciiTheme="majorHAnsi" w:hAnsiTheme="majorHAnsi" w:cstheme="majorHAnsi"/>
          <w:sz w:val="18"/>
          <w:szCs w:val="18"/>
        </w:rPr>
        <w:t>ley,</w:t>
      </w:r>
      <w:r w:rsidRPr="00283215">
        <w:rPr>
          <w:rFonts w:asciiTheme="majorHAnsi" w:hAnsiTheme="majorHAnsi" w:cstheme="majorHAnsi"/>
          <w:spacing w:val="-4"/>
          <w:sz w:val="18"/>
          <w:szCs w:val="18"/>
        </w:rPr>
        <w:t xml:space="preserve"> </w:t>
      </w:r>
      <w:r w:rsidRPr="00283215">
        <w:rPr>
          <w:rFonts w:asciiTheme="majorHAnsi" w:hAnsiTheme="majorHAnsi" w:cstheme="majorHAnsi"/>
          <w:sz w:val="18"/>
          <w:szCs w:val="18"/>
        </w:rPr>
        <w:t>de</w:t>
      </w:r>
      <w:r w:rsidRPr="00283215">
        <w:rPr>
          <w:rFonts w:asciiTheme="majorHAnsi" w:hAnsiTheme="majorHAnsi" w:cstheme="majorHAnsi"/>
          <w:spacing w:val="-4"/>
          <w:sz w:val="18"/>
          <w:szCs w:val="18"/>
        </w:rPr>
        <w:t xml:space="preserve"> </w:t>
      </w:r>
      <w:r w:rsidRPr="00283215">
        <w:rPr>
          <w:rFonts w:asciiTheme="majorHAnsi" w:hAnsiTheme="majorHAnsi" w:cstheme="majorHAnsi"/>
          <w:sz w:val="18"/>
          <w:szCs w:val="18"/>
        </w:rPr>
        <w:t>los</w:t>
      </w:r>
      <w:r w:rsidRPr="00283215">
        <w:rPr>
          <w:rFonts w:asciiTheme="majorHAnsi" w:hAnsiTheme="majorHAnsi" w:cstheme="majorHAnsi"/>
          <w:spacing w:val="-7"/>
          <w:sz w:val="18"/>
          <w:szCs w:val="18"/>
        </w:rPr>
        <w:t xml:space="preserve"> </w:t>
      </w:r>
      <w:r w:rsidRPr="00283215">
        <w:rPr>
          <w:rFonts w:asciiTheme="majorHAnsi" w:hAnsiTheme="majorHAnsi" w:cstheme="majorHAnsi"/>
          <w:sz w:val="18"/>
          <w:szCs w:val="18"/>
        </w:rPr>
        <w:t>ingresos</w:t>
      </w:r>
      <w:r w:rsidRPr="00283215">
        <w:rPr>
          <w:rFonts w:asciiTheme="majorHAnsi" w:hAnsiTheme="majorHAnsi" w:cstheme="majorHAnsi"/>
          <w:spacing w:val="-2"/>
          <w:sz w:val="18"/>
          <w:szCs w:val="18"/>
        </w:rPr>
        <w:t xml:space="preserve"> </w:t>
      </w:r>
      <w:r w:rsidRPr="00283215">
        <w:rPr>
          <w:rFonts w:asciiTheme="majorHAnsi" w:hAnsiTheme="majorHAnsi" w:cstheme="majorHAnsi"/>
          <w:sz w:val="18"/>
          <w:szCs w:val="18"/>
        </w:rPr>
        <w:t>correspondientes</w:t>
      </w:r>
      <w:r w:rsidRPr="00283215">
        <w:rPr>
          <w:rFonts w:asciiTheme="majorHAnsi" w:hAnsiTheme="majorHAnsi" w:cstheme="majorHAnsi"/>
          <w:spacing w:val="-3"/>
          <w:sz w:val="18"/>
          <w:szCs w:val="18"/>
        </w:rPr>
        <w:t xml:space="preserve"> </w:t>
      </w:r>
      <w:r w:rsidRPr="00283215">
        <w:rPr>
          <w:rFonts w:asciiTheme="majorHAnsi" w:hAnsiTheme="majorHAnsi" w:cstheme="majorHAnsi"/>
          <w:sz w:val="18"/>
          <w:szCs w:val="18"/>
        </w:rPr>
        <w:t>a</w:t>
      </w:r>
      <w:r w:rsidRPr="00283215">
        <w:rPr>
          <w:rFonts w:asciiTheme="majorHAnsi" w:hAnsiTheme="majorHAnsi" w:cstheme="majorHAnsi"/>
          <w:spacing w:val="-4"/>
          <w:sz w:val="18"/>
          <w:szCs w:val="18"/>
        </w:rPr>
        <w:t xml:space="preserve"> </w:t>
      </w:r>
      <w:r w:rsidRPr="00283215">
        <w:rPr>
          <w:rFonts w:asciiTheme="majorHAnsi" w:hAnsiTheme="majorHAnsi" w:cstheme="majorHAnsi"/>
          <w:sz w:val="18"/>
          <w:szCs w:val="18"/>
        </w:rPr>
        <w:t>los</w:t>
      </w:r>
      <w:r w:rsidRPr="00283215">
        <w:rPr>
          <w:rFonts w:asciiTheme="majorHAnsi" w:hAnsiTheme="majorHAnsi" w:cstheme="majorHAnsi"/>
          <w:spacing w:val="-3"/>
          <w:sz w:val="18"/>
          <w:szCs w:val="18"/>
        </w:rPr>
        <w:t xml:space="preserve"> </w:t>
      </w:r>
      <w:r w:rsidRPr="00283215">
        <w:rPr>
          <w:rFonts w:asciiTheme="majorHAnsi" w:hAnsiTheme="majorHAnsi" w:cstheme="majorHAnsi"/>
          <w:sz w:val="18"/>
          <w:szCs w:val="18"/>
        </w:rPr>
        <w:t>aportes</w:t>
      </w:r>
      <w:r w:rsidRPr="00283215">
        <w:rPr>
          <w:rFonts w:asciiTheme="majorHAnsi" w:hAnsiTheme="majorHAnsi" w:cstheme="majorHAnsi"/>
          <w:spacing w:val="-5"/>
          <w:sz w:val="18"/>
          <w:szCs w:val="18"/>
        </w:rPr>
        <w:t xml:space="preserve"> </w:t>
      </w:r>
      <w:r w:rsidRPr="00283215">
        <w:rPr>
          <w:rFonts w:asciiTheme="majorHAnsi" w:hAnsiTheme="majorHAnsi" w:cstheme="majorHAnsi"/>
          <w:sz w:val="18"/>
          <w:szCs w:val="18"/>
        </w:rPr>
        <w:t>sobre</w:t>
      </w:r>
      <w:r w:rsidRPr="00283215">
        <w:rPr>
          <w:rFonts w:asciiTheme="majorHAnsi" w:hAnsiTheme="majorHAnsi" w:cstheme="majorHAnsi"/>
          <w:spacing w:val="-4"/>
          <w:sz w:val="18"/>
          <w:szCs w:val="18"/>
        </w:rPr>
        <w:t xml:space="preserve"> </w:t>
      </w:r>
      <w:r w:rsidRPr="00283215">
        <w:rPr>
          <w:rFonts w:asciiTheme="majorHAnsi" w:hAnsiTheme="majorHAnsi" w:cstheme="majorHAnsi"/>
          <w:sz w:val="18"/>
          <w:szCs w:val="18"/>
        </w:rPr>
        <w:t>las</w:t>
      </w:r>
      <w:r w:rsidRPr="00283215">
        <w:rPr>
          <w:rFonts w:asciiTheme="majorHAnsi" w:hAnsiTheme="majorHAnsi" w:cstheme="majorHAnsi"/>
          <w:spacing w:val="-5"/>
          <w:sz w:val="18"/>
          <w:szCs w:val="18"/>
        </w:rPr>
        <w:t xml:space="preserve"> </w:t>
      </w:r>
      <w:r w:rsidRPr="00283215">
        <w:rPr>
          <w:rFonts w:asciiTheme="majorHAnsi" w:hAnsiTheme="majorHAnsi" w:cstheme="majorHAnsi"/>
          <w:sz w:val="18"/>
          <w:szCs w:val="18"/>
        </w:rPr>
        <w:t>nóminas</w:t>
      </w:r>
      <w:r w:rsidRPr="00283215">
        <w:rPr>
          <w:rFonts w:asciiTheme="majorHAnsi" w:hAnsiTheme="majorHAnsi" w:cstheme="majorHAnsi"/>
          <w:spacing w:val="-5"/>
          <w:sz w:val="18"/>
          <w:szCs w:val="18"/>
        </w:rPr>
        <w:t xml:space="preserve"> </w:t>
      </w:r>
      <w:r w:rsidRPr="00283215">
        <w:rPr>
          <w:rFonts w:asciiTheme="majorHAnsi" w:hAnsiTheme="majorHAnsi" w:cstheme="majorHAnsi"/>
          <w:sz w:val="18"/>
          <w:szCs w:val="18"/>
        </w:rPr>
        <w:t>de</w:t>
      </w:r>
      <w:r w:rsidRPr="00283215">
        <w:rPr>
          <w:rFonts w:asciiTheme="majorHAnsi" w:hAnsiTheme="majorHAnsi" w:cstheme="majorHAnsi"/>
          <w:spacing w:val="-4"/>
          <w:sz w:val="18"/>
          <w:szCs w:val="18"/>
        </w:rPr>
        <w:t xml:space="preserve"> </w:t>
      </w:r>
      <w:r w:rsidRPr="00283215">
        <w:rPr>
          <w:rFonts w:asciiTheme="majorHAnsi" w:hAnsiTheme="majorHAnsi" w:cstheme="majorHAnsi"/>
          <w:sz w:val="18"/>
          <w:szCs w:val="18"/>
        </w:rPr>
        <w:t>que</w:t>
      </w:r>
      <w:r w:rsidRPr="00283215">
        <w:rPr>
          <w:rFonts w:asciiTheme="majorHAnsi" w:hAnsiTheme="majorHAnsi" w:cstheme="majorHAnsi"/>
          <w:spacing w:val="-2"/>
          <w:sz w:val="18"/>
          <w:szCs w:val="18"/>
        </w:rPr>
        <w:t xml:space="preserve"> </w:t>
      </w:r>
      <w:r w:rsidRPr="00283215">
        <w:rPr>
          <w:rFonts w:asciiTheme="majorHAnsi" w:hAnsiTheme="majorHAnsi" w:cstheme="majorHAnsi"/>
          <w:sz w:val="18"/>
          <w:szCs w:val="18"/>
        </w:rPr>
        <w:t>trata</w:t>
      </w:r>
      <w:r w:rsidRPr="00283215">
        <w:rPr>
          <w:rFonts w:asciiTheme="majorHAnsi" w:hAnsiTheme="majorHAnsi" w:cstheme="majorHAnsi"/>
          <w:spacing w:val="-7"/>
          <w:sz w:val="18"/>
          <w:szCs w:val="18"/>
        </w:rPr>
        <w:t xml:space="preserve"> </w:t>
      </w:r>
      <w:r w:rsidRPr="00283215">
        <w:rPr>
          <w:rFonts w:asciiTheme="majorHAnsi" w:hAnsiTheme="majorHAnsi" w:cstheme="majorHAnsi"/>
          <w:sz w:val="18"/>
          <w:szCs w:val="18"/>
        </w:rPr>
        <w:t>el numeral cuarto del artículo 30 de la Ley 119 de 1994, el Servicio Nacional de Aprendizaje, SENA, destinará un 20% de</w:t>
      </w:r>
      <w:r w:rsidRPr="00283215">
        <w:rPr>
          <w:rFonts w:asciiTheme="majorHAnsi" w:hAnsiTheme="majorHAnsi" w:cstheme="majorHAnsi"/>
          <w:spacing w:val="-9"/>
          <w:sz w:val="18"/>
          <w:szCs w:val="18"/>
        </w:rPr>
        <w:t xml:space="preserve"> </w:t>
      </w:r>
      <w:r w:rsidRPr="00283215">
        <w:rPr>
          <w:rFonts w:asciiTheme="majorHAnsi" w:hAnsiTheme="majorHAnsi" w:cstheme="majorHAnsi"/>
          <w:sz w:val="18"/>
          <w:szCs w:val="18"/>
        </w:rPr>
        <w:t>dichos</w:t>
      </w:r>
      <w:r w:rsidRPr="00283215">
        <w:rPr>
          <w:rFonts w:asciiTheme="majorHAnsi" w:hAnsiTheme="majorHAnsi" w:cstheme="majorHAnsi"/>
          <w:spacing w:val="-13"/>
          <w:sz w:val="18"/>
          <w:szCs w:val="18"/>
        </w:rPr>
        <w:t xml:space="preserve"> </w:t>
      </w:r>
      <w:r w:rsidRPr="00283215">
        <w:rPr>
          <w:rFonts w:asciiTheme="majorHAnsi" w:hAnsiTheme="majorHAnsi" w:cstheme="majorHAnsi"/>
          <w:sz w:val="18"/>
          <w:szCs w:val="18"/>
        </w:rPr>
        <w:t>ingresos</w:t>
      </w:r>
      <w:r w:rsidRPr="00283215">
        <w:rPr>
          <w:rFonts w:asciiTheme="majorHAnsi" w:hAnsiTheme="majorHAnsi" w:cstheme="majorHAnsi"/>
          <w:spacing w:val="-10"/>
          <w:sz w:val="18"/>
          <w:szCs w:val="18"/>
        </w:rPr>
        <w:t xml:space="preserve"> </w:t>
      </w:r>
      <w:r w:rsidRPr="00283215">
        <w:rPr>
          <w:rFonts w:asciiTheme="majorHAnsi" w:hAnsiTheme="majorHAnsi" w:cstheme="majorHAnsi"/>
          <w:sz w:val="18"/>
          <w:szCs w:val="18"/>
        </w:rPr>
        <w:t>para</w:t>
      </w:r>
      <w:r w:rsidRPr="00283215">
        <w:rPr>
          <w:rFonts w:asciiTheme="majorHAnsi" w:hAnsiTheme="majorHAnsi" w:cstheme="majorHAnsi"/>
          <w:spacing w:val="-11"/>
          <w:sz w:val="18"/>
          <w:szCs w:val="18"/>
        </w:rPr>
        <w:t xml:space="preserve"> </w:t>
      </w:r>
      <w:r w:rsidRPr="00283215">
        <w:rPr>
          <w:rFonts w:asciiTheme="majorHAnsi" w:hAnsiTheme="majorHAnsi" w:cstheme="majorHAnsi"/>
          <w:sz w:val="18"/>
          <w:szCs w:val="18"/>
        </w:rPr>
        <w:t>el</w:t>
      </w:r>
      <w:r w:rsidRPr="00283215">
        <w:rPr>
          <w:rFonts w:asciiTheme="majorHAnsi" w:hAnsiTheme="majorHAnsi" w:cstheme="majorHAnsi"/>
          <w:spacing w:val="-10"/>
          <w:sz w:val="18"/>
          <w:szCs w:val="18"/>
        </w:rPr>
        <w:t xml:space="preserve"> </w:t>
      </w:r>
      <w:r w:rsidRPr="00283215">
        <w:rPr>
          <w:rFonts w:asciiTheme="majorHAnsi" w:hAnsiTheme="majorHAnsi" w:cstheme="majorHAnsi"/>
          <w:sz w:val="18"/>
          <w:szCs w:val="18"/>
        </w:rPr>
        <w:t>desarrollo</w:t>
      </w:r>
      <w:r w:rsidRPr="00283215">
        <w:rPr>
          <w:rFonts w:asciiTheme="majorHAnsi" w:hAnsiTheme="majorHAnsi" w:cstheme="majorHAnsi"/>
          <w:spacing w:val="-10"/>
          <w:sz w:val="18"/>
          <w:szCs w:val="18"/>
        </w:rPr>
        <w:t xml:space="preserve"> </w:t>
      </w:r>
      <w:r w:rsidRPr="00283215">
        <w:rPr>
          <w:rFonts w:asciiTheme="majorHAnsi" w:hAnsiTheme="majorHAnsi" w:cstheme="majorHAnsi"/>
          <w:sz w:val="18"/>
          <w:szCs w:val="18"/>
        </w:rPr>
        <w:t>de</w:t>
      </w:r>
      <w:r w:rsidRPr="00283215">
        <w:rPr>
          <w:rFonts w:asciiTheme="majorHAnsi" w:hAnsiTheme="majorHAnsi" w:cstheme="majorHAnsi"/>
          <w:spacing w:val="-12"/>
          <w:sz w:val="18"/>
          <w:szCs w:val="18"/>
        </w:rPr>
        <w:t xml:space="preserve"> </w:t>
      </w:r>
      <w:r w:rsidRPr="00283215">
        <w:rPr>
          <w:rFonts w:asciiTheme="majorHAnsi" w:hAnsiTheme="majorHAnsi" w:cstheme="majorHAnsi"/>
          <w:sz w:val="18"/>
          <w:szCs w:val="18"/>
        </w:rPr>
        <w:t>programas</w:t>
      </w:r>
      <w:r w:rsidRPr="00283215">
        <w:rPr>
          <w:rFonts w:asciiTheme="majorHAnsi" w:hAnsiTheme="majorHAnsi" w:cstheme="majorHAnsi"/>
          <w:spacing w:val="-11"/>
          <w:sz w:val="18"/>
          <w:szCs w:val="18"/>
        </w:rPr>
        <w:t xml:space="preserve"> </w:t>
      </w:r>
      <w:r w:rsidRPr="00283215">
        <w:rPr>
          <w:rFonts w:asciiTheme="majorHAnsi" w:hAnsiTheme="majorHAnsi" w:cstheme="majorHAnsi"/>
          <w:sz w:val="18"/>
          <w:szCs w:val="18"/>
        </w:rPr>
        <w:t>de</w:t>
      </w:r>
      <w:r w:rsidRPr="00283215">
        <w:rPr>
          <w:rFonts w:asciiTheme="majorHAnsi" w:hAnsiTheme="majorHAnsi" w:cstheme="majorHAnsi"/>
          <w:spacing w:val="-10"/>
          <w:sz w:val="18"/>
          <w:szCs w:val="18"/>
        </w:rPr>
        <w:t xml:space="preserve"> </w:t>
      </w:r>
      <w:r w:rsidRPr="00283215">
        <w:rPr>
          <w:rFonts w:asciiTheme="majorHAnsi" w:hAnsiTheme="majorHAnsi" w:cstheme="majorHAnsi"/>
          <w:sz w:val="18"/>
          <w:szCs w:val="18"/>
        </w:rPr>
        <w:t>competitividad</w:t>
      </w:r>
      <w:r w:rsidRPr="00283215">
        <w:rPr>
          <w:rFonts w:asciiTheme="majorHAnsi" w:hAnsiTheme="majorHAnsi" w:cstheme="majorHAnsi"/>
          <w:spacing w:val="-11"/>
          <w:sz w:val="18"/>
          <w:szCs w:val="18"/>
        </w:rPr>
        <w:t xml:space="preserve"> </w:t>
      </w:r>
      <w:r w:rsidRPr="00283215">
        <w:rPr>
          <w:rFonts w:asciiTheme="majorHAnsi" w:hAnsiTheme="majorHAnsi" w:cstheme="majorHAnsi"/>
          <w:sz w:val="18"/>
          <w:szCs w:val="18"/>
        </w:rPr>
        <w:t>y</w:t>
      </w:r>
      <w:r w:rsidRPr="00283215">
        <w:rPr>
          <w:rFonts w:asciiTheme="majorHAnsi" w:hAnsiTheme="majorHAnsi" w:cstheme="majorHAnsi"/>
          <w:spacing w:val="-11"/>
          <w:sz w:val="18"/>
          <w:szCs w:val="18"/>
        </w:rPr>
        <w:t xml:space="preserve"> </w:t>
      </w:r>
      <w:r w:rsidRPr="00283215">
        <w:rPr>
          <w:rFonts w:asciiTheme="majorHAnsi" w:hAnsiTheme="majorHAnsi" w:cstheme="majorHAnsi"/>
          <w:sz w:val="18"/>
          <w:szCs w:val="18"/>
        </w:rPr>
        <w:t>desarrollo</w:t>
      </w:r>
      <w:r w:rsidRPr="00283215">
        <w:rPr>
          <w:rFonts w:asciiTheme="majorHAnsi" w:hAnsiTheme="majorHAnsi" w:cstheme="majorHAnsi"/>
          <w:spacing w:val="-10"/>
          <w:sz w:val="18"/>
          <w:szCs w:val="18"/>
        </w:rPr>
        <w:t xml:space="preserve"> </w:t>
      </w:r>
      <w:r w:rsidRPr="00283215">
        <w:rPr>
          <w:rFonts w:asciiTheme="majorHAnsi" w:hAnsiTheme="majorHAnsi" w:cstheme="majorHAnsi"/>
          <w:sz w:val="18"/>
          <w:szCs w:val="18"/>
        </w:rPr>
        <w:t>tecnológico</w:t>
      </w:r>
      <w:r w:rsidRPr="00283215">
        <w:rPr>
          <w:rFonts w:asciiTheme="majorHAnsi" w:hAnsiTheme="majorHAnsi" w:cstheme="majorHAnsi"/>
          <w:spacing w:val="-10"/>
          <w:sz w:val="18"/>
          <w:szCs w:val="18"/>
        </w:rPr>
        <w:t xml:space="preserve"> </w:t>
      </w:r>
      <w:r w:rsidRPr="00283215">
        <w:rPr>
          <w:rFonts w:asciiTheme="majorHAnsi" w:hAnsiTheme="majorHAnsi" w:cstheme="majorHAnsi"/>
          <w:sz w:val="18"/>
          <w:szCs w:val="18"/>
        </w:rPr>
        <w:t>productivo.</w:t>
      </w:r>
      <w:r w:rsidRPr="00283215">
        <w:rPr>
          <w:rFonts w:asciiTheme="majorHAnsi" w:hAnsiTheme="majorHAnsi" w:cstheme="majorHAnsi"/>
          <w:spacing w:val="-6"/>
          <w:sz w:val="18"/>
          <w:szCs w:val="18"/>
        </w:rPr>
        <w:t xml:space="preserve"> </w:t>
      </w:r>
      <w:r w:rsidRPr="00283215">
        <w:rPr>
          <w:rFonts w:asciiTheme="majorHAnsi" w:hAnsiTheme="majorHAnsi" w:cstheme="majorHAnsi"/>
          <w:sz w:val="18"/>
          <w:szCs w:val="18"/>
        </w:rPr>
        <w:t>El</w:t>
      </w:r>
      <w:r w:rsidRPr="00283215">
        <w:rPr>
          <w:rFonts w:asciiTheme="majorHAnsi" w:hAnsiTheme="majorHAnsi" w:cstheme="majorHAnsi"/>
          <w:spacing w:val="-7"/>
          <w:sz w:val="18"/>
          <w:szCs w:val="18"/>
        </w:rPr>
        <w:t xml:space="preserve"> </w:t>
      </w:r>
      <w:r w:rsidRPr="00283215">
        <w:rPr>
          <w:rFonts w:asciiTheme="majorHAnsi" w:hAnsiTheme="majorHAnsi" w:cstheme="majorHAnsi"/>
          <w:sz w:val="18"/>
          <w:szCs w:val="18"/>
        </w:rPr>
        <w:t>SENA ejecutará directamente estos programas a través de sus centros de formación profesional o podrá realizar convenios en aquellos casos en que se requiera la participación de otras entidades o centros de desarrollo tecnológico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476B6" w14:textId="34303D20" w:rsidR="007F7D88" w:rsidRDefault="007F7D88" w:rsidP="00A73608">
    <w:pPr>
      <w:pStyle w:val="Encabezado"/>
      <w:tabs>
        <w:tab w:val="left" w:pos="2229"/>
      </w:tabs>
      <w:jc w:val="right"/>
    </w:pPr>
    <w:r>
      <w:rPr>
        <w:noProof/>
        <w:lang w:eastAsia="es-CO"/>
      </w:rPr>
      <w:drawing>
        <wp:anchor distT="0" distB="0" distL="114300" distR="114300" simplePos="0" relativeHeight="251659264" behindDoc="0" locked="0" layoutInCell="1" allowOverlap="1" wp14:anchorId="39A5CA6B" wp14:editId="285343E3">
          <wp:simplePos x="0" y="0"/>
          <wp:positionH relativeFrom="margin">
            <wp:posOffset>0</wp:posOffset>
          </wp:positionH>
          <wp:positionV relativeFrom="paragraph">
            <wp:posOffset>-635</wp:posOffset>
          </wp:positionV>
          <wp:extent cx="2619170" cy="500990"/>
          <wp:effectExtent l="0" t="0" r="0" b="0"/>
          <wp:wrapNone/>
          <wp:docPr id="9"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19170" cy="500990"/>
                  </a:xfrm>
                  <a:prstGeom prst="rect">
                    <a:avLst/>
                  </a:prstGeom>
                  <a:noFill/>
                  <a:ln>
                    <a:noFill/>
                    <a:prstDash/>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5CD"/>
    <w:multiLevelType w:val="multilevel"/>
    <w:tmpl w:val="D570B97E"/>
    <w:lvl w:ilvl="0">
      <w:start w:val="1"/>
      <w:numFmt w:val="decimal"/>
      <w:lvlText w:val="%1."/>
      <w:lvlJc w:val="left"/>
      <w:pPr>
        <w:ind w:left="360" w:hanging="360"/>
      </w:pPr>
      <w:rPr>
        <w:rFonts w:asciiTheme="majorHAnsi" w:eastAsiaTheme="minorHAnsi" w:hAnsiTheme="majorHAnsi" w:cstheme="majorHAnsi"/>
        <w:spacing w:val="-1"/>
        <w:w w:val="10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082FA5"/>
    <w:multiLevelType w:val="hybridMultilevel"/>
    <w:tmpl w:val="52AAA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0466A8"/>
    <w:multiLevelType w:val="hybridMultilevel"/>
    <w:tmpl w:val="F90E4306"/>
    <w:lvl w:ilvl="0" w:tplc="D1AEA5F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5B15C5"/>
    <w:multiLevelType w:val="multilevel"/>
    <w:tmpl w:val="EF2044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41C36E1"/>
    <w:multiLevelType w:val="multilevel"/>
    <w:tmpl w:val="3E42E7A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E84283"/>
    <w:multiLevelType w:val="hybridMultilevel"/>
    <w:tmpl w:val="D4DA6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AA726A"/>
    <w:multiLevelType w:val="multilevel"/>
    <w:tmpl w:val="C26A09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3B7871"/>
    <w:multiLevelType w:val="hybridMultilevel"/>
    <w:tmpl w:val="507635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5D2A78"/>
    <w:multiLevelType w:val="hybridMultilevel"/>
    <w:tmpl w:val="425421D0"/>
    <w:lvl w:ilvl="0" w:tplc="A0402E1C">
      <w:start w:val="1"/>
      <w:numFmt w:val="decimal"/>
      <w:pStyle w:val="Subttulo"/>
      <w:lvlText w:val="Figura %1."/>
      <w:lvlJc w:val="left"/>
      <w:pPr>
        <w:ind w:left="720" w:hanging="360"/>
      </w:pPr>
      <w:rPr>
        <w:rFonts w:ascii="Century Gothic" w:hAnsi="Century Gothic" w:hint="default"/>
        <w:b/>
        <w:i w:val="0"/>
        <w:caps w:val="0"/>
        <w:strike w:val="0"/>
        <w:dstrike w:val="0"/>
        <w:vanish w:val="0"/>
        <w:sz w:val="18"/>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A7A1D"/>
    <w:multiLevelType w:val="multilevel"/>
    <w:tmpl w:val="5F5838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A25ACC"/>
    <w:multiLevelType w:val="hybridMultilevel"/>
    <w:tmpl w:val="3A6CC8C8"/>
    <w:lvl w:ilvl="0" w:tplc="240A0003">
      <w:start w:val="1"/>
      <w:numFmt w:val="bullet"/>
      <w:lvlText w:val="o"/>
      <w:lvlJc w:val="left"/>
      <w:pPr>
        <w:ind w:left="644" w:hanging="360"/>
      </w:pPr>
      <w:rPr>
        <w:rFonts w:ascii="Courier New" w:hAnsi="Courier New" w:cs="Courier New"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 w15:restartNumberingAfterBreak="0">
    <w:nsid w:val="3B6D7791"/>
    <w:multiLevelType w:val="hybridMultilevel"/>
    <w:tmpl w:val="459CF84E"/>
    <w:lvl w:ilvl="0" w:tplc="240A0017">
      <w:start w:val="1"/>
      <w:numFmt w:val="lowerLetter"/>
      <w:lvlText w:val="%1)"/>
      <w:lvlJc w:val="left"/>
      <w:pPr>
        <w:ind w:left="770" w:hanging="360"/>
      </w:pPr>
      <w:rPr>
        <w:rFonts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2" w15:restartNumberingAfterBreak="0">
    <w:nsid w:val="3BE02F32"/>
    <w:multiLevelType w:val="multilevel"/>
    <w:tmpl w:val="AE1AA1F6"/>
    <w:lvl w:ilvl="0">
      <w:start w:val="4"/>
      <w:numFmt w:val="bullet"/>
      <w:lvlText w:val="-"/>
      <w:lvlJc w:val="left"/>
      <w:pPr>
        <w:ind w:left="360" w:hanging="360"/>
      </w:pPr>
      <w:rPr>
        <w:rFonts w:ascii="Calibri Light" w:eastAsiaTheme="minorHAnsi" w:hAnsi="Calibri Light"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0A669A"/>
    <w:multiLevelType w:val="hybridMultilevel"/>
    <w:tmpl w:val="CC8CBBAE"/>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478E622B"/>
    <w:multiLevelType w:val="hybridMultilevel"/>
    <w:tmpl w:val="5CAE0DEA"/>
    <w:lvl w:ilvl="0" w:tplc="240A0017">
      <w:start w:val="1"/>
      <w:numFmt w:val="lowerLetter"/>
      <w:lvlText w:val="%1)"/>
      <w:lvlJc w:val="left"/>
      <w:pPr>
        <w:ind w:left="643" w:hanging="360"/>
      </w:pPr>
      <w:rPr>
        <w:rFonts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hint="default"/>
      </w:rPr>
    </w:lvl>
    <w:lvl w:ilvl="3" w:tplc="0C0A0001">
      <w:start w:val="1"/>
      <w:numFmt w:val="bullet"/>
      <w:lvlText w:val=""/>
      <w:lvlJc w:val="left"/>
      <w:pPr>
        <w:ind w:left="2803" w:hanging="360"/>
      </w:pPr>
      <w:rPr>
        <w:rFonts w:ascii="Symbol" w:hAnsi="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hint="default"/>
      </w:rPr>
    </w:lvl>
    <w:lvl w:ilvl="6" w:tplc="0C0A0001">
      <w:start w:val="1"/>
      <w:numFmt w:val="bullet"/>
      <w:lvlText w:val=""/>
      <w:lvlJc w:val="left"/>
      <w:pPr>
        <w:ind w:left="4963" w:hanging="360"/>
      </w:pPr>
      <w:rPr>
        <w:rFonts w:ascii="Symbol" w:hAnsi="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hint="default"/>
      </w:rPr>
    </w:lvl>
  </w:abstractNum>
  <w:abstractNum w:abstractNumId="15" w15:restartNumberingAfterBreak="0">
    <w:nsid w:val="5420298D"/>
    <w:multiLevelType w:val="hybridMultilevel"/>
    <w:tmpl w:val="8FB6C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005981"/>
    <w:multiLevelType w:val="hybridMultilevel"/>
    <w:tmpl w:val="DB5CDCCA"/>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58D410E4"/>
    <w:multiLevelType w:val="multilevel"/>
    <w:tmpl w:val="5CC20DDC"/>
    <w:lvl w:ilvl="0">
      <w:start w:val="5"/>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4A45D6"/>
    <w:multiLevelType w:val="multilevel"/>
    <w:tmpl w:val="106C53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35D425E"/>
    <w:multiLevelType w:val="hybridMultilevel"/>
    <w:tmpl w:val="BD7CEEF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7F382C"/>
    <w:multiLevelType w:val="hybridMultilevel"/>
    <w:tmpl w:val="3948EDF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1011024"/>
    <w:multiLevelType w:val="hybridMultilevel"/>
    <w:tmpl w:val="B5B2F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742361"/>
    <w:multiLevelType w:val="multilevel"/>
    <w:tmpl w:val="39967CD0"/>
    <w:lvl w:ilvl="0">
      <w:start w:val="2"/>
      <w:numFmt w:val="decimal"/>
      <w:lvlText w:val="%1"/>
      <w:lvlJc w:val="left"/>
      <w:pPr>
        <w:ind w:left="360" w:hanging="360"/>
      </w:pPr>
      <w:rPr>
        <w:rFonts w:hint="default"/>
      </w:rPr>
    </w:lvl>
    <w:lvl w:ilvl="1">
      <w:start w:val="1"/>
      <w:numFmt w:val="decimal"/>
      <w:pStyle w:val="Ttu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9"/>
  </w:num>
  <w:num w:numId="4">
    <w:abstractNumId w:val="3"/>
  </w:num>
  <w:num w:numId="5">
    <w:abstractNumId w:val="4"/>
  </w:num>
  <w:num w:numId="6">
    <w:abstractNumId w:val="17"/>
  </w:num>
  <w:num w:numId="7">
    <w:abstractNumId w:val="12"/>
  </w:num>
  <w:num w:numId="8">
    <w:abstractNumId w:val="22"/>
  </w:num>
  <w:num w:numId="9">
    <w:abstractNumId w:val="6"/>
  </w:num>
  <w:num w:numId="10">
    <w:abstractNumId w:val="10"/>
  </w:num>
  <w:num w:numId="11">
    <w:abstractNumId w:val="5"/>
  </w:num>
  <w:num w:numId="12">
    <w:abstractNumId w:val="8"/>
  </w:num>
  <w:num w:numId="13">
    <w:abstractNumId w:val="14"/>
  </w:num>
  <w:num w:numId="14">
    <w:abstractNumId w:val="18"/>
  </w:num>
  <w:num w:numId="15">
    <w:abstractNumId w:val="7"/>
  </w:num>
  <w:num w:numId="16">
    <w:abstractNumId w:val="11"/>
  </w:num>
  <w:num w:numId="17">
    <w:abstractNumId w:val="2"/>
  </w:num>
  <w:num w:numId="18">
    <w:abstractNumId w:val="21"/>
  </w:num>
  <w:num w:numId="19">
    <w:abstractNumId w:val="13"/>
  </w:num>
  <w:num w:numId="20">
    <w:abstractNumId w:val="16"/>
  </w:num>
  <w:num w:numId="21">
    <w:abstractNumId w:val="19"/>
  </w:num>
  <w:num w:numId="22">
    <w:abstractNumId w:val="15"/>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A7"/>
    <w:rsid w:val="00002E9C"/>
    <w:rsid w:val="00003E72"/>
    <w:rsid w:val="00004684"/>
    <w:rsid w:val="00004FDE"/>
    <w:rsid w:val="00007105"/>
    <w:rsid w:val="00010069"/>
    <w:rsid w:val="00012343"/>
    <w:rsid w:val="00012746"/>
    <w:rsid w:val="00014D7A"/>
    <w:rsid w:val="00023645"/>
    <w:rsid w:val="000236B8"/>
    <w:rsid w:val="00024C62"/>
    <w:rsid w:val="00027120"/>
    <w:rsid w:val="000303D0"/>
    <w:rsid w:val="000316A1"/>
    <w:rsid w:val="00036291"/>
    <w:rsid w:val="00037896"/>
    <w:rsid w:val="00042A90"/>
    <w:rsid w:val="000473B9"/>
    <w:rsid w:val="000506A0"/>
    <w:rsid w:val="00051C85"/>
    <w:rsid w:val="000532E4"/>
    <w:rsid w:val="00053C12"/>
    <w:rsid w:val="00055CB5"/>
    <w:rsid w:val="0005634C"/>
    <w:rsid w:val="0006010E"/>
    <w:rsid w:val="000626BC"/>
    <w:rsid w:val="000637BE"/>
    <w:rsid w:val="00067DB6"/>
    <w:rsid w:val="00072C24"/>
    <w:rsid w:val="00074FAC"/>
    <w:rsid w:val="00075217"/>
    <w:rsid w:val="00081233"/>
    <w:rsid w:val="00084EA3"/>
    <w:rsid w:val="00085CAF"/>
    <w:rsid w:val="00093D19"/>
    <w:rsid w:val="000944E6"/>
    <w:rsid w:val="00097118"/>
    <w:rsid w:val="000971F8"/>
    <w:rsid w:val="000A0AB3"/>
    <w:rsid w:val="000A0B21"/>
    <w:rsid w:val="000A1223"/>
    <w:rsid w:val="000A3935"/>
    <w:rsid w:val="000A3E88"/>
    <w:rsid w:val="000A420B"/>
    <w:rsid w:val="000A7611"/>
    <w:rsid w:val="000B0918"/>
    <w:rsid w:val="000B4069"/>
    <w:rsid w:val="000B495E"/>
    <w:rsid w:val="000C03E9"/>
    <w:rsid w:val="000C228F"/>
    <w:rsid w:val="000C5C31"/>
    <w:rsid w:val="000C6B3E"/>
    <w:rsid w:val="000C7636"/>
    <w:rsid w:val="000D2306"/>
    <w:rsid w:val="000D3CD3"/>
    <w:rsid w:val="000D6CFA"/>
    <w:rsid w:val="000E27AF"/>
    <w:rsid w:val="000E2969"/>
    <w:rsid w:val="000E3352"/>
    <w:rsid w:val="000E370B"/>
    <w:rsid w:val="000F55CB"/>
    <w:rsid w:val="000F6F1D"/>
    <w:rsid w:val="00100AD3"/>
    <w:rsid w:val="00102495"/>
    <w:rsid w:val="0010493B"/>
    <w:rsid w:val="00111130"/>
    <w:rsid w:val="001129CC"/>
    <w:rsid w:val="001134E2"/>
    <w:rsid w:val="001218D6"/>
    <w:rsid w:val="001237A1"/>
    <w:rsid w:val="00127369"/>
    <w:rsid w:val="00131964"/>
    <w:rsid w:val="0013279A"/>
    <w:rsid w:val="00133158"/>
    <w:rsid w:val="001350A4"/>
    <w:rsid w:val="0013521D"/>
    <w:rsid w:val="00135742"/>
    <w:rsid w:val="001363E6"/>
    <w:rsid w:val="00137963"/>
    <w:rsid w:val="00140A5E"/>
    <w:rsid w:val="00141E2C"/>
    <w:rsid w:val="001423BE"/>
    <w:rsid w:val="001440E2"/>
    <w:rsid w:val="0014496A"/>
    <w:rsid w:val="00144985"/>
    <w:rsid w:val="00144CA1"/>
    <w:rsid w:val="00145905"/>
    <w:rsid w:val="00146EC7"/>
    <w:rsid w:val="0015198F"/>
    <w:rsid w:val="001551E2"/>
    <w:rsid w:val="00155700"/>
    <w:rsid w:val="00155BFA"/>
    <w:rsid w:val="00155E74"/>
    <w:rsid w:val="00156DA1"/>
    <w:rsid w:val="00160054"/>
    <w:rsid w:val="001629AE"/>
    <w:rsid w:val="00163534"/>
    <w:rsid w:val="0016367E"/>
    <w:rsid w:val="00163B2E"/>
    <w:rsid w:val="00164A3C"/>
    <w:rsid w:val="00170619"/>
    <w:rsid w:val="001714DA"/>
    <w:rsid w:val="00177DBC"/>
    <w:rsid w:val="00180EF8"/>
    <w:rsid w:val="001811BB"/>
    <w:rsid w:val="00184A8F"/>
    <w:rsid w:val="001851F5"/>
    <w:rsid w:val="00186740"/>
    <w:rsid w:val="001916C0"/>
    <w:rsid w:val="001923FB"/>
    <w:rsid w:val="00193BD7"/>
    <w:rsid w:val="00193F47"/>
    <w:rsid w:val="001940F8"/>
    <w:rsid w:val="00194A35"/>
    <w:rsid w:val="001966E0"/>
    <w:rsid w:val="001973C5"/>
    <w:rsid w:val="001A5EF4"/>
    <w:rsid w:val="001B0A60"/>
    <w:rsid w:val="001B0AE6"/>
    <w:rsid w:val="001B0AF4"/>
    <w:rsid w:val="001B29C9"/>
    <w:rsid w:val="001B3582"/>
    <w:rsid w:val="001B4FD8"/>
    <w:rsid w:val="001B5640"/>
    <w:rsid w:val="001B5C00"/>
    <w:rsid w:val="001B6163"/>
    <w:rsid w:val="001B6FE3"/>
    <w:rsid w:val="001B758A"/>
    <w:rsid w:val="001B775D"/>
    <w:rsid w:val="001C377F"/>
    <w:rsid w:val="001C688B"/>
    <w:rsid w:val="001C7FF5"/>
    <w:rsid w:val="001D0234"/>
    <w:rsid w:val="001D094D"/>
    <w:rsid w:val="001D1149"/>
    <w:rsid w:val="001D2BD6"/>
    <w:rsid w:val="001D3334"/>
    <w:rsid w:val="001E17D8"/>
    <w:rsid w:val="001E3B18"/>
    <w:rsid w:val="001E3CFE"/>
    <w:rsid w:val="001E4197"/>
    <w:rsid w:val="001E50C3"/>
    <w:rsid w:val="001E655B"/>
    <w:rsid w:val="001F1BF4"/>
    <w:rsid w:val="001F34AE"/>
    <w:rsid w:val="001F58FD"/>
    <w:rsid w:val="001F732B"/>
    <w:rsid w:val="001F7330"/>
    <w:rsid w:val="001F7597"/>
    <w:rsid w:val="00200EFA"/>
    <w:rsid w:val="00202F5C"/>
    <w:rsid w:val="00210EBE"/>
    <w:rsid w:val="00211388"/>
    <w:rsid w:val="00211465"/>
    <w:rsid w:val="00213345"/>
    <w:rsid w:val="00215435"/>
    <w:rsid w:val="002179AF"/>
    <w:rsid w:val="0022185A"/>
    <w:rsid w:val="00223A88"/>
    <w:rsid w:val="002257E2"/>
    <w:rsid w:val="002264E8"/>
    <w:rsid w:val="00230A62"/>
    <w:rsid w:val="00230A84"/>
    <w:rsid w:val="00240CF7"/>
    <w:rsid w:val="00241372"/>
    <w:rsid w:val="0024412C"/>
    <w:rsid w:val="002446CA"/>
    <w:rsid w:val="00244867"/>
    <w:rsid w:val="0024660E"/>
    <w:rsid w:val="00252176"/>
    <w:rsid w:val="002530AB"/>
    <w:rsid w:val="0025335F"/>
    <w:rsid w:val="00256481"/>
    <w:rsid w:val="002573A3"/>
    <w:rsid w:val="00261CCE"/>
    <w:rsid w:val="00265968"/>
    <w:rsid w:val="002669F7"/>
    <w:rsid w:val="002701B6"/>
    <w:rsid w:val="002732C4"/>
    <w:rsid w:val="0027388A"/>
    <w:rsid w:val="002763D2"/>
    <w:rsid w:val="00281A90"/>
    <w:rsid w:val="00283215"/>
    <w:rsid w:val="00283834"/>
    <w:rsid w:val="002845CA"/>
    <w:rsid w:val="00284E46"/>
    <w:rsid w:val="002869A0"/>
    <w:rsid w:val="002878F2"/>
    <w:rsid w:val="00287E59"/>
    <w:rsid w:val="00291877"/>
    <w:rsid w:val="002938F0"/>
    <w:rsid w:val="00295D5E"/>
    <w:rsid w:val="00297FC5"/>
    <w:rsid w:val="002A36A1"/>
    <w:rsid w:val="002A52C9"/>
    <w:rsid w:val="002A5EAA"/>
    <w:rsid w:val="002A6C9A"/>
    <w:rsid w:val="002B4138"/>
    <w:rsid w:val="002B4AB7"/>
    <w:rsid w:val="002B573C"/>
    <w:rsid w:val="002C50D7"/>
    <w:rsid w:val="002C5E2A"/>
    <w:rsid w:val="002C6585"/>
    <w:rsid w:val="002C73F0"/>
    <w:rsid w:val="002C7751"/>
    <w:rsid w:val="002C78C7"/>
    <w:rsid w:val="002C78F5"/>
    <w:rsid w:val="002D08FA"/>
    <w:rsid w:val="002D09FD"/>
    <w:rsid w:val="002D1D32"/>
    <w:rsid w:val="002D346D"/>
    <w:rsid w:val="002D709C"/>
    <w:rsid w:val="002E0BEF"/>
    <w:rsid w:val="002E2C90"/>
    <w:rsid w:val="002E4B3B"/>
    <w:rsid w:val="002E4FBC"/>
    <w:rsid w:val="002E5567"/>
    <w:rsid w:val="002E65CF"/>
    <w:rsid w:val="002E7BCF"/>
    <w:rsid w:val="002E7D94"/>
    <w:rsid w:val="002F3A3A"/>
    <w:rsid w:val="002F416B"/>
    <w:rsid w:val="002F42CD"/>
    <w:rsid w:val="002F52B4"/>
    <w:rsid w:val="002F5B5C"/>
    <w:rsid w:val="00302056"/>
    <w:rsid w:val="003059F0"/>
    <w:rsid w:val="00306C88"/>
    <w:rsid w:val="00310424"/>
    <w:rsid w:val="003134BE"/>
    <w:rsid w:val="00315377"/>
    <w:rsid w:val="00315C87"/>
    <w:rsid w:val="0031703E"/>
    <w:rsid w:val="00317AAB"/>
    <w:rsid w:val="00322553"/>
    <w:rsid w:val="00322D09"/>
    <w:rsid w:val="00325145"/>
    <w:rsid w:val="00327DFE"/>
    <w:rsid w:val="00330D0F"/>
    <w:rsid w:val="003324BE"/>
    <w:rsid w:val="00332B00"/>
    <w:rsid w:val="003347BA"/>
    <w:rsid w:val="0033483B"/>
    <w:rsid w:val="0033491C"/>
    <w:rsid w:val="0033522A"/>
    <w:rsid w:val="00337096"/>
    <w:rsid w:val="003401CA"/>
    <w:rsid w:val="00343678"/>
    <w:rsid w:val="0034639E"/>
    <w:rsid w:val="00347AED"/>
    <w:rsid w:val="003508B7"/>
    <w:rsid w:val="003510C5"/>
    <w:rsid w:val="00351B3B"/>
    <w:rsid w:val="00353057"/>
    <w:rsid w:val="003538D3"/>
    <w:rsid w:val="00360F0D"/>
    <w:rsid w:val="00362A82"/>
    <w:rsid w:val="0036422B"/>
    <w:rsid w:val="00365794"/>
    <w:rsid w:val="003703B1"/>
    <w:rsid w:val="0037206D"/>
    <w:rsid w:val="00373D20"/>
    <w:rsid w:val="00373FC9"/>
    <w:rsid w:val="00381B86"/>
    <w:rsid w:val="003821EC"/>
    <w:rsid w:val="00384993"/>
    <w:rsid w:val="00385738"/>
    <w:rsid w:val="0038798D"/>
    <w:rsid w:val="00387A01"/>
    <w:rsid w:val="00387DE4"/>
    <w:rsid w:val="00392AA9"/>
    <w:rsid w:val="00396D70"/>
    <w:rsid w:val="00397DFC"/>
    <w:rsid w:val="003A1D9D"/>
    <w:rsid w:val="003A2B38"/>
    <w:rsid w:val="003A45CC"/>
    <w:rsid w:val="003A501C"/>
    <w:rsid w:val="003A60A8"/>
    <w:rsid w:val="003B06A0"/>
    <w:rsid w:val="003B0DBC"/>
    <w:rsid w:val="003B1B4C"/>
    <w:rsid w:val="003B2791"/>
    <w:rsid w:val="003B59D1"/>
    <w:rsid w:val="003B5B7A"/>
    <w:rsid w:val="003B64E3"/>
    <w:rsid w:val="003C07D6"/>
    <w:rsid w:val="003C07F1"/>
    <w:rsid w:val="003C1E8A"/>
    <w:rsid w:val="003C3933"/>
    <w:rsid w:val="003C3C33"/>
    <w:rsid w:val="003C6366"/>
    <w:rsid w:val="003D0C44"/>
    <w:rsid w:val="003D1615"/>
    <w:rsid w:val="003D473F"/>
    <w:rsid w:val="003D4B22"/>
    <w:rsid w:val="003D7B80"/>
    <w:rsid w:val="003E5397"/>
    <w:rsid w:val="003E5768"/>
    <w:rsid w:val="003E5C40"/>
    <w:rsid w:val="003F178F"/>
    <w:rsid w:val="003F529D"/>
    <w:rsid w:val="003F5B11"/>
    <w:rsid w:val="00400021"/>
    <w:rsid w:val="0040346D"/>
    <w:rsid w:val="00404743"/>
    <w:rsid w:val="00407D7A"/>
    <w:rsid w:val="004156FE"/>
    <w:rsid w:val="00420B2C"/>
    <w:rsid w:val="0042381F"/>
    <w:rsid w:val="00424F4C"/>
    <w:rsid w:val="0042505E"/>
    <w:rsid w:val="00431315"/>
    <w:rsid w:val="00432255"/>
    <w:rsid w:val="00434E81"/>
    <w:rsid w:val="00435747"/>
    <w:rsid w:val="004371E3"/>
    <w:rsid w:val="004405D7"/>
    <w:rsid w:val="00442669"/>
    <w:rsid w:val="00443D7F"/>
    <w:rsid w:val="004440A8"/>
    <w:rsid w:val="00445274"/>
    <w:rsid w:val="0044594C"/>
    <w:rsid w:val="00446CEE"/>
    <w:rsid w:val="00450C7A"/>
    <w:rsid w:val="004531B6"/>
    <w:rsid w:val="00455779"/>
    <w:rsid w:val="00457920"/>
    <w:rsid w:val="00461AA2"/>
    <w:rsid w:val="0046541B"/>
    <w:rsid w:val="004663A9"/>
    <w:rsid w:val="00471203"/>
    <w:rsid w:val="00471AF4"/>
    <w:rsid w:val="004724A4"/>
    <w:rsid w:val="0047507E"/>
    <w:rsid w:val="00475531"/>
    <w:rsid w:val="00476BA8"/>
    <w:rsid w:val="0047715A"/>
    <w:rsid w:val="004774B9"/>
    <w:rsid w:val="00482493"/>
    <w:rsid w:val="004841F8"/>
    <w:rsid w:val="00485762"/>
    <w:rsid w:val="004858FC"/>
    <w:rsid w:val="00492ADE"/>
    <w:rsid w:val="00495299"/>
    <w:rsid w:val="0049779C"/>
    <w:rsid w:val="004A0108"/>
    <w:rsid w:val="004A01DE"/>
    <w:rsid w:val="004A14E7"/>
    <w:rsid w:val="004A407C"/>
    <w:rsid w:val="004A79A5"/>
    <w:rsid w:val="004B219A"/>
    <w:rsid w:val="004B2926"/>
    <w:rsid w:val="004B2C38"/>
    <w:rsid w:val="004B4B83"/>
    <w:rsid w:val="004B527D"/>
    <w:rsid w:val="004C2978"/>
    <w:rsid w:val="004C60D4"/>
    <w:rsid w:val="004C71FC"/>
    <w:rsid w:val="004D1F09"/>
    <w:rsid w:val="004D4002"/>
    <w:rsid w:val="004D557A"/>
    <w:rsid w:val="004D5AAE"/>
    <w:rsid w:val="004D7242"/>
    <w:rsid w:val="004E0A28"/>
    <w:rsid w:val="004E6BD4"/>
    <w:rsid w:val="004F14AE"/>
    <w:rsid w:val="004F2F5A"/>
    <w:rsid w:val="004F357A"/>
    <w:rsid w:val="004F578D"/>
    <w:rsid w:val="004F5ADC"/>
    <w:rsid w:val="004F5C1C"/>
    <w:rsid w:val="004F5CB9"/>
    <w:rsid w:val="004F65A3"/>
    <w:rsid w:val="0050145D"/>
    <w:rsid w:val="00501ED7"/>
    <w:rsid w:val="00503836"/>
    <w:rsid w:val="00505F4C"/>
    <w:rsid w:val="00505FC5"/>
    <w:rsid w:val="0050659D"/>
    <w:rsid w:val="00507708"/>
    <w:rsid w:val="00511B7D"/>
    <w:rsid w:val="00514B5E"/>
    <w:rsid w:val="00514BC8"/>
    <w:rsid w:val="00516B7D"/>
    <w:rsid w:val="00516BC4"/>
    <w:rsid w:val="00523967"/>
    <w:rsid w:val="00523F0F"/>
    <w:rsid w:val="00525A55"/>
    <w:rsid w:val="005263EE"/>
    <w:rsid w:val="00527F3D"/>
    <w:rsid w:val="00530CB2"/>
    <w:rsid w:val="005365F8"/>
    <w:rsid w:val="005367A9"/>
    <w:rsid w:val="00542ACF"/>
    <w:rsid w:val="00546163"/>
    <w:rsid w:val="00551015"/>
    <w:rsid w:val="005559E8"/>
    <w:rsid w:val="00556290"/>
    <w:rsid w:val="005605FA"/>
    <w:rsid w:val="00561479"/>
    <w:rsid w:val="0056169E"/>
    <w:rsid w:val="00561D0F"/>
    <w:rsid w:val="005718FB"/>
    <w:rsid w:val="00575B0A"/>
    <w:rsid w:val="00575DFC"/>
    <w:rsid w:val="0057776B"/>
    <w:rsid w:val="00581B51"/>
    <w:rsid w:val="00583357"/>
    <w:rsid w:val="005864D9"/>
    <w:rsid w:val="005866FB"/>
    <w:rsid w:val="00587D33"/>
    <w:rsid w:val="00590A0B"/>
    <w:rsid w:val="005936CD"/>
    <w:rsid w:val="00594CE4"/>
    <w:rsid w:val="00595E8E"/>
    <w:rsid w:val="00597691"/>
    <w:rsid w:val="005A1CCA"/>
    <w:rsid w:val="005A26E2"/>
    <w:rsid w:val="005A2C2F"/>
    <w:rsid w:val="005A68FD"/>
    <w:rsid w:val="005B2393"/>
    <w:rsid w:val="005B2752"/>
    <w:rsid w:val="005C0ACC"/>
    <w:rsid w:val="005C1731"/>
    <w:rsid w:val="005C1956"/>
    <w:rsid w:val="005C4C40"/>
    <w:rsid w:val="005C6C0E"/>
    <w:rsid w:val="005D39D4"/>
    <w:rsid w:val="005D3E17"/>
    <w:rsid w:val="005D53F2"/>
    <w:rsid w:val="005E22BD"/>
    <w:rsid w:val="005E4DFD"/>
    <w:rsid w:val="005E5DF5"/>
    <w:rsid w:val="005E6DA2"/>
    <w:rsid w:val="005F0F8C"/>
    <w:rsid w:val="005F2B53"/>
    <w:rsid w:val="005F36D4"/>
    <w:rsid w:val="00600293"/>
    <w:rsid w:val="00601403"/>
    <w:rsid w:val="006024D9"/>
    <w:rsid w:val="00602889"/>
    <w:rsid w:val="00603AA5"/>
    <w:rsid w:val="0060490F"/>
    <w:rsid w:val="00604ED0"/>
    <w:rsid w:val="00605EBF"/>
    <w:rsid w:val="00611F72"/>
    <w:rsid w:val="00615906"/>
    <w:rsid w:val="0062434F"/>
    <w:rsid w:val="00626112"/>
    <w:rsid w:val="00627DE2"/>
    <w:rsid w:val="006303EC"/>
    <w:rsid w:val="006304E2"/>
    <w:rsid w:val="006323A1"/>
    <w:rsid w:val="006338F7"/>
    <w:rsid w:val="00636B3B"/>
    <w:rsid w:val="0064018C"/>
    <w:rsid w:val="00643335"/>
    <w:rsid w:val="00644552"/>
    <w:rsid w:val="00644ECD"/>
    <w:rsid w:val="00644FC5"/>
    <w:rsid w:val="00645E88"/>
    <w:rsid w:val="0065048B"/>
    <w:rsid w:val="00653F59"/>
    <w:rsid w:val="00656F00"/>
    <w:rsid w:val="0066025C"/>
    <w:rsid w:val="00660BC0"/>
    <w:rsid w:val="006631BB"/>
    <w:rsid w:val="00663A2A"/>
    <w:rsid w:val="00664040"/>
    <w:rsid w:val="00664780"/>
    <w:rsid w:val="006649DC"/>
    <w:rsid w:val="00667266"/>
    <w:rsid w:val="00670AD7"/>
    <w:rsid w:val="00672503"/>
    <w:rsid w:val="006734E6"/>
    <w:rsid w:val="00674415"/>
    <w:rsid w:val="006755FD"/>
    <w:rsid w:val="00676F09"/>
    <w:rsid w:val="00682293"/>
    <w:rsid w:val="00683994"/>
    <w:rsid w:val="00684CCB"/>
    <w:rsid w:val="00685492"/>
    <w:rsid w:val="00687325"/>
    <w:rsid w:val="006912EC"/>
    <w:rsid w:val="0069135D"/>
    <w:rsid w:val="00691EC9"/>
    <w:rsid w:val="00694BFF"/>
    <w:rsid w:val="006A4B39"/>
    <w:rsid w:val="006A53A8"/>
    <w:rsid w:val="006A57BE"/>
    <w:rsid w:val="006A5ECE"/>
    <w:rsid w:val="006A7605"/>
    <w:rsid w:val="006B19D4"/>
    <w:rsid w:val="006B5290"/>
    <w:rsid w:val="006B53C8"/>
    <w:rsid w:val="006B6CD9"/>
    <w:rsid w:val="006C2BFA"/>
    <w:rsid w:val="006C6FD3"/>
    <w:rsid w:val="006D03E9"/>
    <w:rsid w:val="006D1F12"/>
    <w:rsid w:val="006D2769"/>
    <w:rsid w:val="006D3AFD"/>
    <w:rsid w:val="006D4092"/>
    <w:rsid w:val="006E3597"/>
    <w:rsid w:val="006E48B6"/>
    <w:rsid w:val="006E4D63"/>
    <w:rsid w:val="006E53C2"/>
    <w:rsid w:val="006E68FE"/>
    <w:rsid w:val="006E7DD4"/>
    <w:rsid w:val="006F0F04"/>
    <w:rsid w:val="006F38E5"/>
    <w:rsid w:val="006F4CAF"/>
    <w:rsid w:val="00700345"/>
    <w:rsid w:val="007006A9"/>
    <w:rsid w:val="007018F5"/>
    <w:rsid w:val="00701A3B"/>
    <w:rsid w:val="00703F62"/>
    <w:rsid w:val="00705578"/>
    <w:rsid w:val="00707EFE"/>
    <w:rsid w:val="00711528"/>
    <w:rsid w:val="00712D10"/>
    <w:rsid w:val="007152CE"/>
    <w:rsid w:val="00716000"/>
    <w:rsid w:val="00720ACF"/>
    <w:rsid w:val="00723ED2"/>
    <w:rsid w:val="007328A8"/>
    <w:rsid w:val="00732DB3"/>
    <w:rsid w:val="00734D40"/>
    <w:rsid w:val="00736BDD"/>
    <w:rsid w:val="00740308"/>
    <w:rsid w:val="007412C3"/>
    <w:rsid w:val="007439E7"/>
    <w:rsid w:val="00744017"/>
    <w:rsid w:val="00745DB3"/>
    <w:rsid w:val="00745EB1"/>
    <w:rsid w:val="007540E2"/>
    <w:rsid w:val="0075418D"/>
    <w:rsid w:val="00757A48"/>
    <w:rsid w:val="00760241"/>
    <w:rsid w:val="00762285"/>
    <w:rsid w:val="00764C00"/>
    <w:rsid w:val="0077089D"/>
    <w:rsid w:val="00771E12"/>
    <w:rsid w:val="00772943"/>
    <w:rsid w:val="007729DE"/>
    <w:rsid w:val="00772E16"/>
    <w:rsid w:val="007746DD"/>
    <w:rsid w:val="00775D13"/>
    <w:rsid w:val="007808A1"/>
    <w:rsid w:val="007843EF"/>
    <w:rsid w:val="00784505"/>
    <w:rsid w:val="007854CF"/>
    <w:rsid w:val="007855B5"/>
    <w:rsid w:val="00785E31"/>
    <w:rsid w:val="00786736"/>
    <w:rsid w:val="00787B9B"/>
    <w:rsid w:val="00791827"/>
    <w:rsid w:val="00792CCE"/>
    <w:rsid w:val="007A62E1"/>
    <w:rsid w:val="007A6321"/>
    <w:rsid w:val="007B0D45"/>
    <w:rsid w:val="007C20DA"/>
    <w:rsid w:val="007C5C4A"/>
    <w:rsid w:val="007C7152"/>
    <w:rsid w:val="007C720A"/>
    <w:rsid w:val="007D0D1F"/>
    <w:rsid w:val="007D40F5"/>
    <w:rsid w:val="007E11D0"/>
    <w:rsid w:val="007E185F"/>
    <w:rsid w:val="007E1BAF"/>
    <w:rsid w:val="007E4E75"/>
    <w:rsid w:val="007F1185"/>
    <w:rsid w:val="007F4258"/>
    <w:rsid w:val="007F7D88"/>
    <w:rsid w:val="007F7FB2"/>
    <w:rsid w:val="00804851"/>
    <w:rsid w:val="0080696F"/>
    <w:rsid w:val="008105D4"/>
    <w:rsid w:val="00816348"/>
    <w:rsid w:val="00816720"/>
    <w:rsid w:val="008177F4"/>
    <w:rsid w:val="00817ACB"/>
    <w:rsid w:val="00820CC4"/>
    <w:rsid w:val="00822493"/>
    <w:rsid w:val="0082401B"/>
    <w:rsid w:val="0083172B"/>
    <w:rsid w:val="0083262D"/>
    <w:rsid w:val="00832EB8"/>
    <w:rsid w:val="0083487D"/>
    <w:rsid w:val="0083659F"/>
    <w:rsid w:val="00836F4D"/>
    <w:rsid w:val="00837D9D"/>
    <w:rsid w:val="00841D35"/>
    <w:rsid w:val="00844A66"/>
    <w:rsid w:val="00845676"/>
    <w:rsid w:val="00846C67"/>
    <w:rsid w:val="00855996"/>
    <w:rsid w:val="00857461"/>
    <w:rsid w:val="0086278D"/>
    <w:rsid w:val="008722CB"/>
    <w:rsid w:val="00873726"/>
    <w:rsid w:val="00873BCB"/>
    <w:rsid w:val="00877FEA"/>
    <w:rsid w:val="008800A0"/>
    <w:rsid w:val="008818D6"/>
    <w:rsid w:val="00881E14"/>
    <w:rsid w:val="00882393"/>
    <w:rsid w:val="00882FB2"/>
    <w:rsid w:val="00883C4B"/>
    <w:rsid w:val="00883CEA"/>
    <w:rsid w:val="00885872"/>
    <w:rsid w:val="00885DBE"/>
    <w:rsid w:val="00887727"/>
    <w:rsid w:val="008913A7"/>
    <w:rsid w:val="00891CC9"/>
    <w:rsid w:val="00893191"/>
    <w:rsid w:val="0089398C"/>
    <w:rsid w:val="008942D5"/>
    <w:rsid w:val="008A040A"/>
    <w:rsid w:val="008A21FB"/>
    <w:rsid w:val="008A504E"/>
    <w:rsid w:val="008A54D1"/>
    <w:rsid w:val="008A5D9F"/>
    <w:rsid w:val="008B226A"/>
    <w:rsid w:val="008B4887"/>
    <w:rsid w:val="008B62CF"/>
    <w:rsid w:val="008B6A7D"/>
    <w:rsid w:val="008B6C8E"/>
    <w:rsid w:val="008C09AC"/>
    <w:rsid w:val="008C2478"/>
    <w:rsid w:val="008C3F14"/>
    <w:rsid w:val="008C5A57"/>
    <w:rsid w:val="008C76FB"/>
    <w:rsid w:val="008C7A68"/>
    <w:rsid w:val="008D0CF4"/>
    <w:rsid w:val="008D1E96"/>
    <w:rsid w:val="008D34B8"/>
    <w:rsid w:val="008D51BD"/>
    <w:rsid w:val="008D7C39"/>
    <w:rsid w:val="008D7FBD"/>
    <w:rsid w:val="008E28C6"/>
    <w:rsid w:val="008E3D88"/>
    <w:rsid w:val="008E49A2"/>
    <w:rsid w:val="008E6D95"/>
    <w:rsid w:val="008F3456"/>
    <w:rsid w:val="008F724F"/>
    <w:rsid w:val="00902288"/>
    <w:rsid w:val="00902A59"/>
    <w:rsid w:val="00902B0F"/>
    <w:rsid w:val="00904202"/>
    <w:rsid w:val="00906B81"/>
    <w:rsid w:val="0090726E"/>
    <w:rsid w:val="00907A3B"/>
    <w:rsid w:val="00911A2C"/>
    <w:rsid w:val="00915A81"/>
    <w:rsid w:val="00920F3C"/>
    <w:rsid w:val="0092179C"/>
    <w:rsid w:val="0092188F"/>
    <w:rsid w:val="00921A1B"/>
    <w:rsid w:val="00921E13"/>
    <w:rsid w:val="0092342E"/>
    <w:rsid w:val="009248D4"/>
    <w:rsid w:val="00927288"/>
    <w:rsid w:val="0093036F"/>
    <w:rsid w:val="00932382"/>
    <w:rsid w:val="00932584"/>
    <w:rsid w:val="00932F58"/>
    <w:rsid w:val="00933CF9"/>
    <w:rsid w:val="00934C27"/>
    <w:rsid w:val="0094207F"/>
    <w:rsid w:val="009510AB"/>
    <w:rsid w:val="00951C65"/>
    <w:rsid w:val="009528AB"/>
    <w:rsid w:val="00956190"/>
    <w:rsid w:val="0095766D"/>
    <w:rsid w:val="00957C6D"/>
    <w:rsid w:val="00960A93"/>
    <w:rsid w:val="009676A5"/>
    <w:rsid w:val="009707D0"/>
    <w:rsid w:val="00976DE9"/>
    <w:rsid w:val="009803D1"/>
    <w:rsid w:val="0098078D"/>
    <w:rsid w:val="0098141D"/>
    <w:rsid w:val="00982098"/>
    <w:rsid w:val="00983789"/>
    <w:rsid w:val="00984FF6"/>
    <w:rsid w:val="00985F87"/>
    <w:rsid w:val="00986E36"/>
    <w:rsid w:val="0099092F"/>
    <w:rsid w:val="00991ABB"/>
    <w:rsid w:val="00996A2C"/>
    <w:rsid w:val="009A2800"/>
    <w:rsid w:val="009A34AE"/>
    <w:rsid w:val="009A3D16"/>
    <w:rsid w:val="009A7C89"/>
    <w:rsid w:val="009B138D"/>
    <w:rsid w:val="009B1CA3"/>
    <w:rsid w:val="009B1DE6"/>
    <w:rsid w:val="009B27EA"/>
    <w:rsid w:val="009B2A03"/>
    <w:rsid w:val="009B3EB9"/>
    <w:rsid w:val="009B42C4"/>
    <w:rsid w:val="009B4EF3"/>
    <w:rsid w:val="009B53D5"/>
    <w:rsid w:val="009B680E"/>
    <w:rsid w:val="009B7493"/>
    <w:rsid w:val="009B7FEB"/>
    <w:rsid w:val="009C19E2"/>
    <w:rsid w:val="009C39A5"/>
    <w:rsid w:val="009C531C"/>
    <w:rsid w:val="009D6045"/>
    <w:rsid w:val="009D6114"/>
    <w:rsid w:val="009E219D"/>
    <w:rsid w:val="009E4155"/>
    <w:rsid w:val="009E555B"/>
    <w:rsid w:val="009E70FA"/>
    <w:rsid w:val="009F5D17"/>
    <w:rsid w:val="00A01590"/>
    <w:rsid w:val="00A0161C"/>
    <w:rsid w:val="00A01F52"/>
    <w:rsid w:val="00A024EC"/>
    <w:rsid w:val="00A04918"/>
    <w:rsid w:val="00A04C92"/>
    <w:rsid w:val="00A07C03"/>
    <w:rsid w:val="00A1068C"/>
    <w:rsid w:val="00A12627"/>
    <w:rsid w:val="00A12CC4"/>
    <w:rsid w:val="00A130F4"/>
    <w:rsid w:val="00A13DF7"/>
    <w:rsid w:val="00A15851"/>
    <w:rsid w:val="00A15F23"/>
    <w:rsid w:val="00A2302B"/>
    <w:rsid w:val="00A23C60"/>
    <w:rsid w:val="00A25830"/>
    <w:rsid w:val="00A26511"/>
    <w:rsid w:val="00A33624"/>
    <w:rsid w:val="00A336B8"/>
    <w:rsid w:val="00A3377A"/>
    <w:rsid w:val="00A3458D"/>
    <w:rsid w:val="00A40280"/>
    <w:rsid w:val="00A41323"/>
    <w:rsid w:val="00A4156E"/>
    <w:rsid w:val="00A41642"/>
    <w:rsid w:val="00A4223E"/>
    <w:rsid w:val="00A42E49"/>
    <w:rsid w:val="00A43D77"/>
    <w:rsid w:val="00A452A9"/>
    <w:rsid w:val="00A46170"/>
    <w:rsid w:val="00A509DF"/>
    <w:rsid w:val="00A555C6"/>
    <w:rsid w:val="00A619BC"/>
    <w:rsid w:val="00A61BBF"/>
    <w:rsid w:val="00A62AF8"/>
    <w:rsid w:val="00A62DFE"/>
    <w:rsid w:val="00A70D13"/>
    <w:rsid w:val="00A7114C"/>
    <w:rsid w:val="00A72F30"/>
    <w:rsid w:val="00A733E5"/>
    <w:rsid w:val="00A73608"/>
    <w:rsid w:val="00A7401E"/>
    <w:rsid w:val="00A748E8"/>
    <w:rsid w:val="00A755F4"/>
    <w:rsid w:val="00A75999"/>
    <w:rsid w:val="00A75DB5"/>
    <w:rsid w:val="00A8186A"/>
    <w:rsid w:val="00A830DB"/>
    <w:rsid w:val="00A83C32"/>
    <w:rsid w:val="00A85EB5"/>
    <w:rsid w:val="00A93C8D"/>
    <w:rsid w:val="00A93F3C"/>
    <w:rsid w:val="00A97449"/>
    <w:rsid w:val="00AA1B11"/>
    <w:rsid w:val="00AA2992"/>
    <w:rsid w:val="00AA2B2B"/>
    <w:rsid w:val="00AA789B"/>
    <w:rsid w:val="00AA7954"/>
    <w:rsid w:val="00AB064A"/>
    <w:rsid w:val="00AB2F59"/>
    <w:rsid w:val="00AB4DD4"/>
    <w:rsid w:val="00AB5B47"/>
    <w:rsid w:val="00AC0D2D"/>
    <w:rsid w:val="00AC1621"/>
    <w:rsid w:val="00AC38D7"/>
    <w:rsid w:val="00AC3E2D"/>
    <w:rsid w:val="00AC7803"/>
    <w:rsid w:val="00AD1A78"/>
    <w:rsid w:val="00AD2FBF"/>
    <w:rsid w:val="00AD3841"/>
    <w:rsid w:val="00AD59AA"/>
    <w:rsid w:val="00AD5A3D"/>
    <w:rsid w:val="00AD6941"/>
    <w:rsid w:val="00AD71C6"/>
    <w:rsid w:val="00AD7252"/>
    <w:rsid w:val="00AE2871"/>
    <w:rsid w:val="00AE587F"/>
    <w:rsid w:val="00AE5A0B"/>
    <w:rsid w:val="00AE5F60"/>
    <w:rsid w:val="00AF31C1"/>
    <w:rsid w:val="00AF413B"/>
    <w:rsid w:val="00AF6255"/>
    <w:rsid w:val="00AF7142"/>
    <w:rsid w:val="00B00AC6"/>
    <w:rsid w:val="00B02466"/>
    <w:rsid w:val="00B036A2"/>
    <w:rsid w:val="00B05CDF"/>
    <w:rsid w:val="00B111B2"/>
    <w:rsid w:val="00B13C3A"/>
    <w:rsid w:val="00B15D7C"/>
    <w:rsid w:val="00B17156"/>
    <w:rsid w:val="00B17DFC"/>
    <w:rsid w:val="00B24645"/>
    <w:rsid w:val="00B255E7"/>
    <w:rsid w:val="00B302D1"/>
    <w:rsid w:val="00B32388"/>
    <w:rsid w:val="00B32FF1"/>
    <w:rsid w:val="00B33C2C"/>
    <w:rsid w:val="00B34C60"/>
    <w:rsid w:val="00B356B6"/>
    <w:rsid w:val="00B37164"/>
    <w:rsid w:val="00B37883"/>
    <w:rsid w:val="00B37C9B"/>
    <w:rsid w:val="00B525C8"/>
    <w:rsid w:val="00B52AEE"/>
    <w:rsid w:val="00B53597"/>
    <w:rsid w:val="00B54AFC"/>
    <w:rsid w:val="00B54E13"/>
    <w:rsid w:val="00B626E3"/>
    <w:rsid w:val="00B64A99"/>
    <w:rsid w:val="00B66996"/>
    <w:rsid w:val="00B670AC"/>
    <w:rsid w:val="00B70510"/>
    <w:rsid w:val="00B75BA5"/>
    <w:rsid w:val="00B76E3B"/>
    <w:rsid w:val="00B774C2"/>
    <w:rsid w:val="00B80194"/>
    <w:rsid w:val="00B81BB7"/>
    <w:rsid w:val="00B82CA4"/>
    <w:rsid w:val="00B85BD0"/>
    <w:rsid w:val="00B86FAF"/>
    <w:rsid w:val="00B908CA"/>
    <w:rsid w:val="00B9238F"/>
    <w:rsid w:val="00BA09C8"/>
    <w:rsid w:val="00BA3B09"/>
    <w:rsid w:val="00BA435B"/>
    <w:rsid w:val="00BA60A0"/>
    <w:rsid w:val="00BB0EEC"/>
    <w:rsid w:val="00BB1CD7"/>
    <w:rsid w:val="00BB2FD0"/>
    <w:rsid w:val="00BB43E9"/>
    <w:rsid w:val="00BB4C79"/>
    <w:rsid w:val="00BB4F5C"/>
    <w:rsid w:val="00BC0BCC"/>
    <w:rsid w:val="00BC3D00"/>
    <w:rsid w:val="00BC58D3"/>
    <w:rsid w:val="00BD03EA"/>
    <w:rsid w:val="00BD0536"/>
    <w:rsid w:val="00BD304C"/>
    <w:rsid w:val="00BD54A5"/>
    <w:rsid w:val="00BD6803"/>
    <w:rsid w:val="00BD7128"/>
    <w:rsid w:val="00BE379B"/>
    <w:rsid w:val="00BE3D4E"/>
    <w:rsid w:val="00BE486B"/>
    <w:rsid w:val="00BE76CC"/>
    <w:rsid w:val="00BF0606"/>
    <w:rsid w:val="00BF740D"/>
    <w:rsid w:val="00BF7A19"/>
    <w:rsid w:val="00BF7E92"/>
    <w:rsid w:val="00C00355"/>
    <w:rsid w:val="00C00B14"/>
    <w:rsid w:val="00C021B2"/>
    <w:rsid w:val="00C044A7"/>
    <w:rsid w:val="00C11E5D"/>
    <w:rsid w:val="00C140DE"/>
    <w:rsid w:val="00C152D7"/>
    <w:rsid w:val="00C15AF9"/>
    <w:rsid w:val="00C168FF"/>
    <w:rsid w:val="00C2032A"/>
    <w:rsid w:val="00C23D80"/>
    <w:rsid w:val="00C24772"/>
    <w:rsid w:val="00C25B66"/>
    <w:rsid w:val="00C25D75"/>
    <w:rsid w:val="00C308BD"/>
    <w:rsid w:val="00C3238A"/>
    <w:rsid w:val="00C35BEA"/>
    <w:rsid w:val="00C37DB8"/>
    <w:rsid w:val="00C4321B"/>
    <w:rsid w:val="00C43D12"/>
    <w:rsid w:val="00C43D21"/>
    <w:rsid w:val="00C45573"/>
    <w:rsid w:val="00C504F3"/>
    <w:rsid w:val="00C50637"/>
    <w:rsid w:val="00C54FA7"/>
    <w:rsid w:val="00C54FED"/>
    <w:rsid w:val="00C6260E"/>
    <w:rsid w:val="00C70D8E"/>
    <w:rsid w:val="00C71164"/>
    <w:rsid w:val="00C71ACB"/>
    <w:rsid w:val="00C7437C"/>
    <w:rsid w:val="00C80463"/>
    <w:rsid w:val="00C81990"/>
    <w:rsid w:val="00C82215"/>
    <w:rsid w:val="00C83E5A"/>
    <w:rsid w:val="00C87B50"/>
    <w:rsid w:val="00C87B96"/>
    <w:rsid w:val="00C913CA"/>
    <w:rsid w:val="00C96EC6"/>
    <w:rsid w:val="00CA2482"/>
    <w:rsid w:val="00CA3A3E"/>
    <w:rsid w:val="00CA5389"/>
    <w:rsid w:val="00CA5475"/>
    <w:rsid w:val="00CB062D"/>
    <w:rsid w:val="00CB2FDC"/>
    <w:rsid w:val="00CB3DF0"/>
    <w:rsid w:val="00CB5425"/>
    <w:rsid w:val="00CB75EC"/>
    <w:rsid w:val="00CC06A0"/>
    <w:rsid w:val="00CC0DE2"/>
    <w:rsid w:val="00CC1FF0"/>
    <w:rsid w:val="00CC242C"/>
    <w:rsid w:val="00CC759A"/>
    <w:rsid w:val="00CD1C93"/>
    <w:rsid w:val="00CD2E33"/>
    <w:rsid w:val="00CE2755"/>
    <w:rsid w:val="00CE2E04"/>
    <w:rsid w:val="00CE6308"/>
    <w:rsid w:val="00CE71D8"/>
    <w:rsid w:val="00CF2322"/>
    <w:rsid w:val="00CF3409"/>
    <w:rsid w:val="00CF390C"/>
    <w:rsid w:val="00CF5FB3"/>
    <w:rsid w:val="00D042CE"/>
    <w:rsid w:val="00D0501C"/>
    <w:rsid w:val="00D05C60"/>
    <w:rsid w:val="00D05CB1"/>
    <w:rsid w:val="00D15A73"/>
    <w:rsid w:val="00D1621B"/>
    <w:rsid w:val="00D21604"/>
    <w:rsid w:val="00D21D2C"/>
    <w:rsid w:val="00D23D78"/>
    <w:rsid w:val="00D2618F"/>
    <w:rsid w:val="00D264B8"/>
    <w:rsid w:val="00D279D5"/>
    <w:rsid w:val="00D304A4"/>
    <w:rsid w:val="00D33BF2"/>
    <w:rsid w:val="00D35019"/>
    <w:rsid w:val="00D37FBA"/>
    <w:rsid w:val="00D40E0B"/>
    <w:rsid w:val="00D4149A"/>
    <w:rsid w:val="00D42A6B"/>
    <w:rsid w:val="00D44B1D"/>
    <w:rsid w:val="00D5114E"/>
    <w:rsid w:val="00D51B4B"/>
    <w:rsid w:val="00D54109"/>
    <w:rsid w:val="00D55AAC"/>
    <w:rsid w:val="00D5758C"/>
    <w:rsid w:val="00D7145E"/>
    <w:rsid w:val="00D71ED3"/>
    <w:rsid w:val="00D720A5"/>
    <w:rsid w:val="00D753C6"/>
    <w:rsid w:val="00D75536"/>
    <w:rsid w:val="00D7624C"/>
    <w:rsid w:val="00D80054"/>
    <w:rsid w:val="00D81D8F"/>
    <w:rsid w:val="00D82590"/>
    <w:rsid w:val="00D826F7"/>
    <w:rsid w:val="00D832BC"/>
    <w:rsid w:val="00D87B39"/>
    <w:rsid w:val="00D90D30"/>
    <w:rsid w:val="00D93895"/>
    <w:rsid w:val="00D94020"/>
    <w:rsid w:val="00D9500E"/>
    <w:rsid w:val="00D95BF4"/>
    <w:rsid w:val="00DA0FB1"/>
    <w:rsid w:val="00DA2C26"/>
    <w:rsid w:val="00DA469C"/>
    <w:rsid w:val="00DA69DA"/>
    <w:rsid w:val="00DA6BD0"/>
    <w:rsid w:val="00DA72B1"/>
    <w:rsid w:val="00DB76D5"/>
    <w:rsid w:val="00DB7C9C"/>
    <w:rsid w:val="00DC0A62"/>
    <w:rsid w:val="00DC23E9"/>
    <w:rsid w:val="00DC25D6"/>
    <w:rsid w:val="00DC28F4"/>
    <w:rsid w:val="00DC3856"/>
    <w:rsid w:val="00DC3BC7"/>
    <w:rsid w:val="00DC42DA"/>
    <w:rsid w:val="00DC5207"/>
    <w:rsid w:val="00DD08A2"/>
    <w:rsid w:val="00DD10DC"/>
    <w:rsid w:val="00DD16DF"/>
    <w:rsid w:val="00DD1A14"/>
    <w:rsid w:val="00DD2744"/>
    <w:rsid w:val="00DD7E24"/>
    <w:rsid w:val="00DE1D00"/>
    <w:rsid w:val="00DE330B"/>
    <w:rsid w:val="00DE3474"/>
    <w:rsid w:val="00DE391F"/>
    <w:rsid w:val="00DE5A1A"/>
    <w:rsid w:val="00DE629C"/>
    <w:rsid w:val="00DF0F39"/>
    <w:rsid w:val="00DF173D"/>
    <w:rsid w:val="00DF5740"/>
    <w:rsid w:val="00DF58D9"/>
    <w:rsid w:val="00DF73AB"/>
    <w:rsid w:val="00E01080"/>
    <w:rsid w:val="00E027AF"/>
    <w:rsid w:val="00E029FD"/>
    <w:rsid w:val="00E03239"/>
    <w:rsid w:val="00E03469"/>
    <w:rsid w:val="00E050A7"/>
    <w:rsid w:val="00E05170"/>
    <w:rsid w:val="00E06502"/>
    <w:rsid w:val="00E1037D"/>
    <w:rsid w:val="00E161B3"/>
    <w:rsid w:val="00E22F03"/>
    <w:rsid w:val="00E241E5"/>
    <w:rsid w:val="00E26D68"/>
    <w:rsid w:val="00E26DB8"/>
    <w:rsid w:val="00E3059F"/>
    <w:rsid w:val="00E377EA"/>
    <w:rsid w:val="00E4112A"/>
    <w:rsid w:val="00E41306"/>
    <w:rsid w:val="00E43383"/>
    <w:rsid w:val="00E43869"/>
    <w:rsid w:val="00E4480F"/>
    <w:rsid w:val="00E453B2"/>
    <w:rsid w:val="00E4778F"/>
    <w:rsid w:val="00E50723"/>
    <w:rsid w:val="00E508E5"/>
    <w:rsid w:val="00E55697"/>
    <w:rsid w:val="00E60327"/>
    <w:rsid w:val="00E63D47"/>
    <w:rsid w:val="00E713E8"/>
    <w:rsid w:val="00E74FCC"/>
    <w:rsid w:val="00E77734"/>
    <w:rsid w:val="00E80644"/>
    <w:rsid w:val="00E818E5"/>
    <w:rsid w:val="00E843A2"/>
    <w:rsid w:val="00E91B64"/>
    <w:rsid w:val="00E936B7"/>
    <w:rsid w:val="00E94CA9"/>
    <w:rsid w:val="00E95539"/>
    <w:rsid w:val="00E96856"/>
    <w:rsid w:val="00EA162D"/>
    <w:rsid w:val="00EA3DAF"/>
    <w:rsid w:val="00EB6B64"/>
    <w:rsid w:val="00EB7D48"/>
    <w:rsid w:val="00EC2491"/>
    <w:rsid w:val="00EC4F8F"/>
    <w:rsid w:val="00ED3ABC"/>
    <w:rsid w:val="00EE2338"/>
    <w:rsid w:val="00EE4CE3"/>
    <w:rsid w:val="00EE624E"/>
    <w:rsid w:val="00EF4A7F"/>
    <w:rsid w:val="00F04ADB"/>
    <w:rsid w:val="00F05581"/>
    <w:rsid w:val="00F05AA5"/>
    <w:rsid w:val="00F05AB1"/>
    <w:rsid w:val="00F06CED"/>
    <w:rsid w:val="00F1141E"/>
    <w:rsid w:val="00F132FC"/>
    <w:rsid w:val="00F15061"/>
    <w:rsid w:val="00F170B8"/>
    <w:rsid w:val="00F17CEF"/>
    <w:rsid w:val="00F2316D"/>
    <w:rsid w:val="00F323B8"/>
    <w:rsid w:val="00F34D3C"/>
    <w:rsid w:val="00F3515E"/>
    <w:rsid w:val="00F37D19"/>
    <w:rsid w:val="00F413FA"/>
    <w:rsid w:val="00F4754B"/>
    <w:rsid w:val="00F47A0B"/>
    <w:rsid w:val="00F51C66"/>
    <w:rsid w:val="00F51CFD"/>
    <w:rsid w:val="00F52125"/>
    <w:rsid w:val="00F52925"/>
    <w:rsid w:val="00F53563"/>
    <w:rsid w:val="00F535A2"/>
    <w:rsid w:val="00F535ED"/>
    <w:rsid w:val="00F540B7"/>
    <w:rsid w:val="00F560F3"/>
    <w:rsid w:val="00F56D4D"/>
    <w:rsid w:val="00F63D0C"/>
    <w:rsid w:val="00F6496F"/>
    <w:rsid w:val="00F67BB6"/>
    <w:rsid w:val="00F71F84"/>
    <w:rsid w:val="00F72596"/>
    <w:rsid w:val="00F73995"/>
    <w:rsid w:val="00F74095"/>
    <w:rsid w:val="00F822A3"/>
    <w:rsid w:val="00F82386"/>
    <w:rsid w:val="00F86B87"/>
    <w:rsid w:val="00F86F6C"/>
    <w:rsid w:val="00F86FF6"/>
    <w:rsid w:val="00F907BF"/>
    <w:rsid w:val="00F90828"/>
    <w:rsid w:val="00F909D6"/>
    <w:rsid w:val="00F90A56"/>
    <w:rsid w:val="00F929F2"/>
    <w:rsid w:val="00F944CF"/>
    <w:rsid w:val="00F95CC3"/>
    <w:rsid w:val="00FA39C1"/>
    <w:rsid w:val="00FA4A26"/>
    <w:rsid w:val="00FB3016"/>
    <w:rsid w:val="00FB3C07"/>
    <w:rsid w:val="00FB4612"/>
    <w:rsid w:val="00FB70BC"/>
    <w:rsid w:val="00FB7CBC"/>
    <w:rsid w:val="00FC05A3"/>
    <w:rsid w:val="00FC0AED"/>
    <w:rsid w:val="00FC19CB"/>
    <w:rsid w:val="00FC20EA"/>
    <w:rsid w:val="00FC3146"/>
    <w:rsid w:val="00FC4863"/>
    <w:rsid w:val="00FC6557"/>
    <w:rsid w:val="00FC68C7"/>
    <w:rsid w:val="00FC6B4F"/>
    <w:rsid w:val="00FC6CD9"/>
    <w:rsid w:val="00FD6670"/>
    <w:rsid w:val="00FD6CAE"/>
    <w:rsid w:val="00FE099F"/>
    <w:rsid w:val="00FE0B16"/>
    <w:rsid w:val="00FE1025"/>
    <w:rsid w:val="00FE2588"/>
    <w:rsid w:val="00FE3115"/>
    <w:rsid w:val="00FE410F"/>
    <w:rsid w:val="00FE4757"/>
    <w:rsid w:val="00FE734B"/>
    <w:rsid w:val="00FE7BA1"/>
    <w:rsid w:val="00FF16C1"/>
    <w:rsid w:val="00FF204F"/>
    <w:rsid w:val="00FF484F"/>
    <w:rsid w:val="00FF78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D53D4"/>
  <w15:docId w15:val="{296DE02C-CE5F-4D77-A804-041E82EC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5212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autoRedefine/>
    <w:uiPriority w:val="9"/>
    <w:unhideWhenUsed/>
    <w:qFormat/>
    <w:rsid w:val="00BF7E92"/>
    <w:pPr>
      <w:keepNext/>
      <w:keepLines/>
      <w:numPr>
        <w:ilvl w:val="1"/>
        <w:numId w:val="8"/>
      </w:numPr>
      <w:spacing w:before="40" w:after="0"/>
      <w:jc w:val="both"/>
      <w:outlineLvl w:val="1"/>
    </w:pPr>
    <w:rPr>
      <w:rFonts w:asciiTheme="majorHAnsi" w:eastAsiaTheme="majorEastAsia" w:hAnsiTheme="majorHAnsi" w:cstheme="majorBidi"/>
      <w:b/>
      <w:sz w:val="26"/>
      <w:szCs w:val="26"/>
    </w:rPr>
  </w:style>
  <w:style w:type="paragraph" w:styleId="Ttulo3">
    <w:name w:val="heading 3"/>
    <w:basedOn w:val="Normal"/>
    <w:next w:val="Normal"/>
    <w:link w:val="Ttulo3Car"/>
    <w:uiPriority w:val="9"/>
    <w:unhideWhenUsed/>
    <w:qFormat/>
    <w:rsid w:val="00816720"/>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F390C"/>
    <w:pPr>
      <w:keepNext/>
      <w:keepLines/>
      <w:spacing w:before="40" w:after="0" w:line="240" w:lineRule="auto"/>
      <w:jc w:val="both"/>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pPr>
      <w:spacing w:after="0" w:line="240" w:lineRule="auto"/>
    </w:pPr>
  </w:style>
  <w:style w:type="character" w:customStyle="1" w:styleId="Ttulo2Car">
    <w:name w:val="Título 2 Car"/>
    <w:basedOn w:val="Fuentedeprrafopredeter"/>
    <w:link w:val="Ttulo2"/>
    <w:uiPriority w:val="9"/>
    <w:rsid w:val="00BF7E92"/>
    <w:rPr>
      <w:rFonts w:asciiTheme="majorHAnsi" w:eastAsiaTheme="majorEastAsia" w:hAnsiTheme="majorHAnsi" w:cstheme="majorBidi"/>
      <w:b/>
      <w:sz w:val="26"/>
      <w:szCs w:val="26"/>
    </w:rPr>
  </w:style>
  <w:style w:type="paragraph" w:styleId="Encabezado">
    <w:name w:val="header"/>
    <w:basedOn w:val="Normal"/>
    <w:link w:val="EncabezadoCar"/>
    <w:unhideWhenUsed/>
    <w:pPr>
      <w:tabs>
        <w:tab w:val="center" w:pos="4419"/>
        <w:tab w:val="right" w:pos="8838"/>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notapie">
    <w:name w:val="footnote text"/>
    <w:aliases w:val="Footnote Text Char Char,Footnote Text1 Char,Footnote Text Char Char Char Char,Footnote Text Char, Car11 Car Car Car Car,texto de nota al pie,Nota a pie/Bibliog,Texto nota pie Car1,Texto nota pie Car Car, Car1 Car Car, Car1 Car2, Car1,ft C"/>
    <w:basedOn w:val="Normal"/>
    <w:link w:val="TextonotapieCar"/>
    <w:uiPriority w:val="99"/>
    <w:unhideWhenUsed/>
    <w:qFormat/>
    <w:pPr>
      <w:spacing w:after="0" w:line="240" w:lineRule="auto"/>
    </w:pPr>
    <w:rPr>
      <w:sz w:val="20"/>
      <w:szCs w:val="20"/>
    </w:rPr>
  </w:style>
  <w:style w:type="character" w:customStyle="1" w:styleId="TextonotapieCar">
    <w:name w:val="Texto nota pie Car"/>
    <w:aliases w:val="Footnote Text Char Char Car,Footnote Text1 Char Car,Footnote Text Char Char Char Char Car,Footnote Text Char Car, Car11 Car Car Car Car Car,texto de nota al pie Car,Nota a pie/Bibliog Car,Texto nota pie Car1 Car, Car1 Car Car Car"/>
    <w:basedOn w:val="Fuentedeprrafopredeter"/>
    <w:link w:val="Textonotapie"/>
    <w:uiPriority w:val="99"/>
    <w:rPr>
      <w:sz w:val="20"/>
      <w:szCs w:val="20"/>
    </w:rPr>
  </w:style>
  <w:style w:type="character" w:styleId="Refdenotaalpie">
    <w:name w:val="footnote reference"/>
    <w:aliases w:val="referencia nota al pie,Ref,de nota al pie,Nota de pie,Ref. de nota al pie2,Massilia Footnote Reference,Nota al pie info 1,Footnote,Texto de nota al pie,Pie de pagina,Appel note de bas de page,BVI fnr,Footnote symbol,ftref,FC,titulo 2"/>
    <w:basedOn w:val="Fuentedeprrafopredeter"/>
    <w:uiPriority w:val="99"/>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customStyle="1" w:styleId="Mencin1">
    <w:name w:val="Mención1"/>
    <w:basedOn w:val="Fuentedeprrafopredeter"/>
    <w:uiPriority w:val="99"/>
    <w:semiHidden/>
    <w:unhideWhenUsed/>
    <w:rPr>
      <w:color w:val="2B579A"/>
      <w:shd w:val="clear" w:color="auto" w:fill="E6E6E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Prrafodelista">
    <w:name w:val="List Paragraph"/>
    <w:aliases w:val="titulo 5,Bullets,titulo 3,Normal. Viñetas,Lista vistosa - Énfasis 11,Bolita,Ha,HOJA,Párrafo de lista4,BOLADEF,Párrafo de lista3,Párrafo de lista21,BOLA,Nivel 1 OS,Liste 1,References,Antes de enumeración,Párrafo de lista2,Chulito"/>
    <w:basedOn w:val="Normal"/>
    <w:link w:val="PrrafodelistaCar"/>
    <w:uiPriority w:val="34"/>
    <w:qFormat/>
    <w:pPr>
      <w:spacing w:line="256" w:lineRule="auto"/>
      <w:ind w:left="720"/>
      <w:contextualSpacing/>
    </w:pPr>
  </w:style>
  <w:style w:type="character" w:customStyle="1" w:styleId="Ttulo1Car">
    <w:name w:val="Título 1 Car"/>
    <w:basedOn w:val="Fuentedeprrafopredeter"/>
    <w:link w:val="Ttulo1"/>
    <w:uiPriority w:val="9"/>
    <w:rsid w:val="00F52125"/>
    <w:rPr>
      <w:rFonts w:asciiTheme="majorHAnsi" w:eastAsiaTheme="majorEastAsia" w:hAnsiTheme="majorHAnsi" w:cstheme="majorBidi"/>
      <w:b/>
      <w:bCs/>
      <w:color w:val="2F5496" w:themeColor="accent1" w:themeShade="BF"/>
      <w:sz w:val="28"/>
      <w:szCs w:val="28"/>
    </w:rPr>
  </w:style>
  <w:style w:type="paragraph" w:styleId="TtulodeTDC">
    <w:name w:val="TOC Heading"/>
    <w:basedOn w:val="Ttulo1"/>
    <w:next w:val="Normal"/>
    <w:uiPriority w:val="39"/>
    <w:unhideWhenUsed/>
    <w:qFormat/>
    <w:rsid w:val="00F52125"/>
    <w:pPr>
      <w:spacing w:line="276" w:lineRule="auto"/>
      <w:outlineLvl w:val="9"/>
    </w:pPr>
    <w:rPr>
      <w:lang w:val="es-ES" w:eastAsia="es-ES"/>
    </w:rPr>
  </w:style>
  <w:style w:type="paragraph" w:styleId="TDC2">
    <w:name w:val="toc 2"/>
    <w:basedOn w:val="Normal"/>
    <w:next w:val="Normal"/>
    <w:autoRedefine/>
    <w:uiPriority w:val="39"/>
    <w:unhideWhenUsed/>
    <w:rsid w:val="00F52125"/>
    <w:pPr>
      <w:spacing w:after="100"/>
      <w:ind w:left="220"/>
    </w:pPr>
  </w:style>
  <w:style w:type="paragraph" w:styleId="TDC1">
    <w:name w:val="toc 1"/>
    <w:basedOn w:val="Normal"/>
    <w:next w:val="Normal"/>
    <w:autoRedefine/>
    <w:uiPriority w:val="39"/>
    <w:unhideWhenUsed/>
    <w:rsid w:val="00F51CFD"/>
    <w:pPr>
      <w:tabs>
        <w:tab w:val="right" w:leader="dot" w:pos="8828"/>
      </w:tabs>
      <w:spacing w:after="100"/>
    </w:pPr>
  </w:style>
  <w:style w:type="character" w:customStyle="1" w:styleId="PrrafodelistaCar">
    <w:name w:val="Párrafo de lista Car"/>
    <w:aliases w:val="titulo 5 Car,Bullets Car,titulo 3 Car,Normal. Viñetas Car,Lista vistosa - Énfasis 11 Car,Bolita Car,Ha Car,HOJA Car,Párrafo de lista4 Car,BOLADEF Car,Párrafo de lista3 Car,Párrafo de lista21 Car,BOLA Car,Nivel 1 OS Car,Liste 1 Car"/>
    <w:basedOn w:val="Fuentedeprrafopredeter"/>
    <w:link w:val="Prrafodelista"/>
    <w:uiPriority w:val="34"/>
    <w:rsid w:val="00F52125"/>
  </w:style>
  <w:style w:type="paragraph" w:styleId="Textoindependiente">
    <w:name w:val="Body Text"/>
    <w:basedOn w:val="Normal"/>
    <w:link w:val="TextoindependienteCar"/>
    <w:uiPriority w:val="1"/>
    <w:qFormat/>
    <w:rsid w:val="00F52125"/>
    <w:pPr>
      <w:widowControl w:val="0"/>
      <w:spacing w:after="0" w:line="240" w:lineRule="auto"/>
    </w:pPr>
    <w:rPr>
      <w:rFonts w:ascii="Century Gothic" w:eastAsia="Century Gothic" w:hAnsi="Century Gothic" w:cs="Century Gothic"/>
      <w:lang w:val="en-US"/>
    </w:rPr>
  </w:style>
  <w:style w:type="character" w:customStyle="1" w:styleId="TextoindependienteCar">
    <w:name w:val="Texto independiente Car"/>
    <w:basedOn w:val="Fuentedeprrafopredeter"/>
    <w:link w:val="Textoindependiente"/>
    <w:uiPriority w:val="1"/>
    <w:rsid w:val="00F52125"/>
    <w:rPr>
      <w:rFonts w:ascii="Century Gothic" w:eastAsia="Century Gothic" w:hAnsi="Century Gothic" w:cs="Century Gothic"/>
      <w:lang w:val="en-US"/>
    </w:rPr>
  </w:style>
  <w:style w:type="paragraph" w:customStyle="1" w:styleId="TableParagraph">
    <w:name w:val="Table Paragraph"/>
    <w:basedOn w:val="Normal"/>
    <w:uiPriority w:val="1"/>
    <w:qFormat/>
    <w:rsid w:val="00F52125"/>
    <w:pPr>
      <w:widowControl w:val="0"/>
      <w:spacing w:after="0" w:line="240" w:lineRule="auto"/>
    </w:pPr>
    <w:rPr>
      <w:rFonts w:ascii="Century Gothic" w:eastAsia="Century Gothic" w:hAnsi="Century Gothic" w:cs="Century Gothic"/>
      <w:lang w:val="en-US"/>
    </w:rPr>
  </w:style>
  <w:style w:type="character" w:customStyle="1" w:styleId="SinespaciadoCar">
    <w:name w:val="Sin espaciado Car"/>
    <w:basedOn w:val="Fuentedeprrafopredeter"/>
    <w:link w:val="Sinespaciado"/>
    <w:uiPriority w:val="1"/>
    <w:rsid w:val="00656F00"/>
  </w:style>
  <w:style w:type="paragraph" w:customStyle="1" w:styleId="Default">
    <w:name w:val="Default"/>
    <w:rsid w:val="00D40E0B"/>
    <w:pPr>
      <w:suppressAutoHyphens/>
      <w:autoSpaceDE w:val="0"/>
      <w:autoSpaceDN w:val="0"/>
      <w:spacing w:after="0" w:line="240" w:lineRule="auto"/>
      <w:textAlignment w:val="baseline"/>
    </w:pPr>
    <w:rPr>
      <w:rFonts w:ascii="Symbol" w:eastAsia="Calibri" w:hAnsi="Symbol" w:cs="Symbol"/>
      <w:color w:val="000000"/>
      <w:sz w:val="24"/>
      <w:szCs w:val="24"/>
      <w:lang w:val="es-CL"/>
    </w:rPr>
  </w:style>
  <w:style w:type="paragraph" w:styleId="Descripcin">
    <w:name w:val="caption"/>
    <w:aliases w:val="CONPES título tablas y gráficos"/>
    <w:basedOn w:val="Normal"/>
    <w:next w:val="Normal"/>
    <w:uiPriority w:val="35"/>
    <w:unhideWhenUsed/>
    <w:qFormat/>
    <w:rsid w:val="00FF484F"/>
    <w:pPr>
      <w:spacing w:after="200" w:line="240" w:lineRule="auto"/>
    </w:pPr>
    <w:rPr>
      <w:i/>
      <w:iCs/>
      <w:color w:val="44546A" w:themeColor="text2"/>
      <w:sz w:val="18"/>
      <w:szCs w:val="18"/>
    </w:rPr>
  </w:style>
  <w:style w:type="table" w:styleId="Cuadrculavistosa-nfasis1">
    <w:name w:val="Colorful Grid Accent 1"/>
    <w:basedOn w:val="Tablanormal"/>
    <w:uiPriority w:val="29"/>
    <w:qFormat/>
    <w:rsid w:val="00FF484F"/>
    <w:pPr>
      <w:spacing w:after="200" w:line="276" w:lineRule="auto"/>
    </w:pPr>
    <w:rPr>
      <w:color w:val="000000" w:themeColor="text1"/>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TDC3">
    <w:name w:val="toc 3"/>
    <w:basedOn w:val="Normal"/>
    <w:next w:val="Normal"/>
    <w:autoRedefine/>
    <w:uiPriority w:val="39"/>
    <w:unhideWhenUsed/>
    <w:rsid w:val="00984FF6"/>
    <w:pPr>
      <w:spacing w:after="100"/>
      <w:ind w:left="440"/>
    </w:pPr>
  </w:style>
  <w:style w:type="character" w:customStyle="1" w:styleId="Ttulo3Car">
    <w:name w:val="Título 3 Car"/>
    <w:basedOn w:val="Fuentedeprrafopredeter"/>
    <w:link w:val="Ttulo3"/>
    <w:uiPriority w:val="9"/>
    <w:rsid w:val="00816720"/>
    <w:rPr>
      <w:rFonts w:asciiTheme="majorHAnsi" w:eastAsiaTheme="majorEastAsia" w:hAnsiTheme="majorHAnsi" w:cstheme="majorBidi"/>
      <w:b/>
      <w:bCs/>
      <w:color w:val="4472C4" w:themeColor="accent1"/>
    </w:rPr>
  </w:style>
  <w:style w:type="paragraph" w:styleId="Revisin">
    <w:name w:val="Revision"/>
    <w:hidden/>
    <w:uiPriority w:val="99"/>
    <w:semiHidden/>
    <w:rsid w:val="008B62CF"/>
    <w:pPr>
      <w:spacing w:after="0" w:line="240" w:lineRule="auto"/>
    </w:pPr>
  </w:style>
  <w:style w:type="paragraph" w:styleId="Mapadeldocumento">
    <w:name w:val="Document Map"/>
    <w:basedOn w:val="Normal"/>
    <w:link w:val="MapadeldocumentoCar"/>
    <w:uiPriority w:val="99"/>
    <w:semiHidden/>
    <w:unhideWhenUsed/>
    <w:rsid w:val="001973C5"/>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1973C5"/>
    <w:rPr>
      <w:rFonts w:ascii="Times New Roman" w:hAnsi="Times New Roman" w:cs="Times New Roman"/>
      <w:sz w:val="24"/>
      <w:szCs w:val="24"/>
    </w:rPr>
  </w:style>
  <w:style w:type="table" w:styleId="Sombreadomedio1-nfasis5">
    <w:name w:val="Medium Shading 1 Accent 5"/>
    <w:basedOn w:val="Tablanormal"/>
    <w:uiPriority w:val="63"/>
    <w:rsid w:val="00841D35"/>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ablaconcuadrcula">
    <w:name w:val="Table Grid"/>
    <w:basedOn w:val="Tablanormal"/>
    <w:uiPriority w:val="39"/>
    <w:rsid w:val="0050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F055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aclara-nfasis5">
    <w:name w:val="Light List Accent 5"/>
    <w:basedOn w:val="Tablanormal"/>
    <w:uiPriority w:val="61"/>
    <w:rsid w:val="00F0558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Bibliografa">
    <w:name w:val="Bibliography"/>
    <w:basedOn w:val="Normal"/>
    <w:next w:val="Normal"/>
    <w:uiPriority w:val="37"/>
    <w:semiHidden/>
    <w:unhideWhenUsed/>
    <w:rsid w:val="00822493"/>
  </w:style>
  <w:style w:type="table" w:styleId="Cuadrculaclara-nfasis5">
    <w:name w:val="Light Grid Accent 5"/>
    <w:basedOn w:val="Tablanormal"/>
    <w:uiPriority w:val="62"/>
    <w:rsid w:val="0050383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NormalWeb">
    <w:name w:val="Normal (Web)"/>
    <w:basedOn w:val="Normal"/>
    <w:uiPriority w:val="99"/>
    <w:unhideWhenUsed/>
    <w:rsid w:val="00AC1621"/>
    <w:pPr>
      <w:spacing w:after="0" w:line="240" w:lineRule="auto"/>
    </w:pPr>
    <w:rPr>
      <w:rFonts w:ascii="Times New Roman" w:hAnsi="Times New Roman" w:cs="Times New Roman"/>
      <w:sz w:val="24"/>
      <w:szCs w:val="24"/>
      <w:lang w:eastAsia="es-CO"/>
    </w:rPr>
  </w:style>
  <w:style w:type="table" w:customStyle="1" w:styleId="Tabladecuadrcula4-nfasis11">
    <w:name w:val="Tabla de cuadrícula 4 - Énfasis 11"/>
    <w:basedOn w:val="Tablanormal"/>
    <w:uiPriority w:val="49"/>
    <w:rsid w:val="009C19E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yiv4593887746msonormal">
    <w:name w:val="yiv4593887746msonormal"/>
    <w:basedOn w:val="Normal"/>
    <w:rsid w:val="00155E7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uentedeprrafopredeter1">
    <w:name w:val="Fuente de párrafo predeter.1"/>
    <w:rsid w:val="00155E74"/>
  </w:style>
  <w:style w:type="character" w:styleId="Textoennegrita">
    <w:name w:val="Strong"/>
    <w:basedOn w:val="Fuentedeprrafopredeter"/>
    <w:uiPriority w:val="22"/>
    <w:qFormat/>
    <w:rsid w:val="000E2969"/>
    <w:rPr>
      <w:b/>
      <w:bCs/>
    </w:rPr>
  </w:style>
  <w:style w:type="character" w:styleId="nfasis">
    <w:name w:val="Emphasis"/>
    <w:basedOn w:val="Fuentedeprrafopredeter"/>
    <w:uiPriority w:val="20"/>
    <w:qFormat/>
    <w:rsid w:val="000E2969"/>
    <w:rPr>
      <w:i/>
      <w:iCs/>
    </w:rPr>
  </w:style>
  <w:style w:type="table" w:customStyle="1" w:styleId="Tabladecuadrcula4-nfasis51">
    <w:name w:val="Tabla de cuadrícula 4 - Énfasis 51"/>
    <w:basedOn w:val="Tablanormal"/>
    <w:uiPriority w:val="49"/>
    <w:rsid w:val="003B59D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5oscura-nfasis51">
    <w:name w:val="Tabla de cuadrícula 5 oscura - Énfasis 51"/>
    <w:basedOn w:val="Tablanormal"/>
    <w:uiPriority w:val="50"/>
    <w:rsid w:val="003B59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Subttulo">
    <w:name w:val="Subtitle"/>
    <w:aliases w:val="Figura"/>
    <w:basedOn w:val="Normal"/>
    <w:next w:val="Normal"/>
    <w:link w:val="SubttuloCar"/>
    <w:autoRedefine/>
    <w:uiPriority w:val="11"/>
    <w:qFormat/>
    <w:rsid w:val="00387A01"/>
    <w:pPr>
      <w:numPr>
        <w:numId w:val="12"/>
      </w:numPr>
      <w:spacing w:after="0" w:line="240" w:lineRule="auto"/>
      <w:jc w:val="center"/>
    </w:pPr>
    <w:rPr>
      <w:rFonts w:ascii="Century Gothic" w:eastAsiaTheme="minorEastAsia" w:hAnsi="Century Gothic"/>
      <w:b/>
      <w:spacing w:val="15"/>
      <w:sz w:val="18"/>
    </w:rPr>
  </w:style>
  <w:style w:type="character" w:customStyle="1" w:styleId="SubttuloCar">
    <w:name w:val="Subtítulo Car"/>
    <w:aliases w:val="Figura Car"/>
    <w:basedOn w:val="Fuentedeprrafopredeter"/>
    <w:link w:val="Subttulo"/>
    <w:uiPriority w:val="11"/>
    <w:rsid w:val="00387A01"/>
    <w:rPr>
      <w:rFonts w:ascii="Century Gothic" w:eastAsiaTheme="minorEastAsia" w:hAnsi="Century Gothic"/>
      <w:b/>
      <w:spacing w:val="15"/>
      <w:sz w:val="18"/>
    </w:rPr>
  </w:style>
  <w:style w:type="table" w:customStyle="1" w:styleId="Tablaconcuadrcula1">
    <w:name w:val="Tabla con cuadrícula1"/>
    <w:basedOn w:val="Tablanormal"/>
    <w:next w:val="Tablaconcuadrcula"/>
    <w:uiPriority w:val="39"/>
    <w:rsid w:val="00C70D8E"/>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uiPriority w:val="46"/>
    <w:rsid w:val="003F529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284E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rsid w:val="00CF390C"/>
    <w:rPr>
      <w:rFonts w:asciiTheme="majorHAnsi" w:eastAsiaTheme="majorEastAsia" w:hAnsiTheme="majorHAnsi" w:cstheme="majorBidi"/>
      <w:i/>
      <w:iCs/>
      <w:color w:val="2F5496" w:themeColor="accent1" w:themeShade="BF"/>
    </w:rPr>
  </w:style>
  <w:style w:type="table" w:customStyle="1" w:styleId="Tabladecuadrcula2-nfasis51">
    <w:name w:val="Tabla de cuadrícula 2 - Énfasis 51"/>
    <w:basedOn w:val="Tablanormal"/>
    <w:uiPriority w:val="47"/>
    <w:rsid w:val="00C743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1clara-nfasis51">
    <w:name w:val="Tabla de cuadrícula 1 clara - Énfasis 51"/>
    <w:basedOn w:val="Tablanormal"/>
    <w:uiPriority w:val="46"/>
    <w:rsid w:val="00C7437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A93C8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1clara-nfasis5">
    <w:name w:val="Grid Table 1 Light Accent 5"/>
    <w:basedOn w:val="Tablanormal"/>
    <w:uiPriority w:val="46"/>
    <w:rsid w:val="00A93C8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83487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64">
      <w:bodyDiv w:val="1"/>
      <w:marLeft w:val="0"/>
      <w:marRight w:val="0"/>
      <w:marTop w:val="0"/>
      <w:marBottom w:val="0"/>
      <w:divBdr>
        <w:top w:val="none" w:sz="0" w:space="0" w:color="auto"/>
        <w:left w:val="none" w:sz="0" w:space="0" w:color="auto"/>
        <w:bottom w:val="none" w:sz="0" w:space="0" w:color="auto"/>
        <w:right w:val="none" w:sz="0" w:space="0" w:color="auto"/>
      </w:divBdr>
    </w:div>
    <w:div w:id="37706505">
      <w:bodyDiv w:val="1"/>
      <w:marLeft w:val="0"/>
      <w:marRight w:val="0"/>
      <w:marTop w:val="0"/>
      <w:marBottom w:val="0"/>
      <w:divBdr>
        <w:top w:val="none" w:sz="0" w:space="0" w:color="auto"/>
        <w:left w:val="none" w:sz="0" w:space="0" w:color="auto"/>
        <w:bottom w:val="none" w:sz="0" w:space="0" w:color="auto"/>
        <w:right w:val="none" w:sz="0" w:space="0" w:color="auto"/>
      </w:divBdr>
    </w:div>
    <w:div w:id="58938772">
      <w:bodyDiv w:val="1"/>
      <w:marLeft w:val="0"/>
      <w:marRight w:val="0"/>
      <w:marTop w:val="0"/>
      <w:marBottom w:val="0"/>
      <w:divBdr>
        <w:top w:val="none" w:sz="0" w:space="0" w:color="auto"/>
        <w:left w:val="none" w:sz="0" w:space="0" w:color="auto"/>
        <w:bottom w:val="none" w:sz="0" w:space="0" w:color="auto"/>
        <w:right w:val="none" w:sz="0" w:space="0" w:color="auto"/>
      </w:divBdr>
    </w:div>
    <w:div w:id="71322920">
      <w:bodyDiv w:val="1"/>
      <w:marLeft w:val="0"/>
      <w:marRight w:val="0"/>
      <w:marTop w:val="0"/>
      <w:marBottom w:val="0"/>
      <w:divBdr>
        <w:top w:val="none" w:sz="0" w:space="0" w:color="auto"/>
        <w:left w:val="none" w:sz="0" w:space="0" w:color="auto"/>
        <w:bottom w:val="none" w:sz="0" w:space="0" w:color="auto"/>
        <w:right w:val="none" w:sz="0" w:space="0" w:color="auto"/>
      </w:divBdr>
    </w:div>
    <w:div w:id="97525819">
      <w:bodyDiv w:val="1"/>
      <w:marLeft w:val="0"/>
      <w:marRight w:val="0"/>
      <w:marTop w:val="0"/>
      <w:marBottom w:val="0"/>
      <w:divBdr>
        <w:top w:val="none" w:sz="0" w:space="0" w:color="auto"/>
        <w:left w:val="none" w:sz="0" w:space="0" w:color="auto"/>
        <w:bottom w:val="none" w:sz="0" w:space="0" w:color="auto"/>
        <w:right w:val="none" w:sz="0" w:space="0" w:color="auto"/>
      </w:divBdr>
    </w:div>
    <w:div w:id="161507081">
      <w:bodyDiv w:val="1"/>
      <w:marLeft w:val="0"/>
      <w:marRight w:val="0"/>
      <w:marTop w:val="0"/>
      <w:marBottom w:val="0"/>
      <w:divBdr>
        <w:top w:val="none" w:sz="0" w:space="0" w:color="auto"/>
        <w:left w:val="none" w:sz="0" w:space="0" w:color="auto"/>
        <w:bottom w:val="none" w:sz="0" w:space="0" w:color="auto"/>
        <w:right w:val="none" w:sz="0" w:space="0" w:color="auto"/>
      </w:divBdr>
    </w:div>
    <w:div w:id="183712824">
      <w:bodyDiv w:val="1"/>
      <w:marLeft w:val="0"/>
      <w:marRight w:val="0"/>
      <w:marTop w:val="0"/>
      <w:marBottom w:val="0"/>
      <w:divBdr>
        <w:top w:val="none" w:sz="0" w:space="0" w:color="auto"/>
        <w:left w:val="none" w:sz="0" w:space="0" w:color="auto"/>
        <w:bottom w:val="none" w:sz="0" w:space="0" w:color="auto"/>
        <w:right w:val="none" w:sz="0" w:space="0" w:color="auto"/>
      </w:divBdr>
    </w:div>
    <w:div w:id="225454789">
      <w:bodyDiv w:val="1"/>
      <w:marLeft w:val="0"/>
      <w:marRight w:val="0"/>
      <w:marTop w:val="0"/>
      <w:marBottom w:val="0"/>
      <w:divBdr>
        <w:top w:val="none" w:sz="0" w:space="0" w:color="auto"/>
        <w:left w:val="none" w:sz="0" w:space="0" w:color="auto"/>
        <w:bottom w:val="none" w:sz="0" w:space="0" w:color="auto"/>
        <w:right w:val="none" w:sz="0" w:space="0" w:color="auto"/>
      </w:divBdr>
    </w:div>
    <w:div w:id="307054156">
      <w:bodyDiv w:val="1"/>
      <w:marLeft w:val="0"/>
      <w:marRight w:val="0"/>
      <w:marTop w:val="0"/>
      <w:marBottom w:val="0"/>
      <w:divBdr>
        <w:top w:val="none" w:sz="0" w:space="0" w:color="auto"/>
        <w:left w:val="none" w:sz="0" w:space="0" w:color="auto"/>
        <w:bottom w:val="none" w:sz="0" w:space="0" w:color="auto"/>
        <w:right w:val="none" w:sz="0" w:space="0" w:color="auto"/>
      </w:divBdr>
    </w:div>
    <w:div w:id="363754801">
      <w:bodyDiv w:val="1"/>
      <w:marLeft w:val="0"/>
      <w:marRight w:val="0"/>
      <w:marTop w:val="0"/>
      <w:marBottom w:val="0"/>
      <w:divBdr>
        <w:top w:val="none" w:sz="0" w:space="0" w:color="auto"/>
        <w:left w:val="none" w:sz="0" w:space="0" w:color="auto"/>
        <w:bottom w:val="none" w:sz="0" w:space="0" w:color="auto"/>
        <w:right w:val="none" w:sz="0" w:space="0" w:color="auto"/>
      </w:divBdr>
    </w:div>
    <w:div w:id="413824672">
      <w:bodyDiv w:val="1"/>
      <w:marLeft w:val="0"/>
      <w:marRight w:val="0"/>
      <w:marTop w:val="0"/>
      <w:marBottom w:val="0"/>
      <w:divBdr>
        <w:top w:val="none" w:sz="0" w:space="0" w:color="auto"/>
        <w:left w:val="none" w:sz="0" w:space="0" w:color="auto"/>
        <w:bottom w:val="none" w:sz="0" w:space="0" w:color="auto"/>
        <w:right w:val="none" w:sz="0" w:space="0" w:color="auto"/>
      </w:divBdr>
    </w:div>
    <w:div w:id="468281087">
      <w:bodyDiv w:val="1"/>
      <w:marLeft w:val="0"/>
      <w:marRight w:val="0"/>
      <w:marTop w:val="0"/>
      <w:marBottom w:val="0"/>
      <w:divBdr>
        <w:top w:val="none" w:sz="0" w:space="0" w:color="auto"/>
        <w:left w:val="none" w:sz="0" w:space="0" w:color="auto"/>
        <w:bottom w:val="none" w:sz="0" w:space="0" w:color="auto"/>
        <w:right w:val="none" w:sz="0" w:space="0" w:color="auto"/>
      </w:divBdr>
    </w:div>
    <w:div w:id="510491568">
      <w:bodyDiv w:val="1"/>
      <w:marLeft w:val="0"/>
      <w:marRight w:val="0"/>
      <w:marTop w:val="0"/>
      <w:marBottom w:val="0"/>
      <w:divBdr>
        <w:top w:val="none" w:sz="0" w:space="0" w:color="auto"/>
        <w:left w:val="none" w:sz="0" w:space="0" w:color="auto"/>
        <w:bottom w:val="none" w:sz="0" w:space="0" w:color="auto"/>
        <w:right w:val="none" w:sz="0" w:space="0" w:color="auto"/>
      </w:divBdr>
    </w:div>
    <w:div w:id="544028583">
      <w:bodyDiv w:val="1"/>
      <w:marLeft w:val="0"/>
      <w:marRight w:val="0"/>
      <w:marTop w:val="0"/>
      <w:marBottom w:val="0"/>
      <w:divBdr>
        <w:top w:val="none" w:sz="0" w:space="0" w:color="auto"/>
        <w:left w:val="none" w:sz="0" w:space="0" w:color="auto"/>
        <w:bottom w:val="none" w:sz="0" w:space="0" w:color="auto"/>
        <w:right w:val="none" w:sz="0" w:space="0" w:color="auto"/>
      </w:divBdr>
    </w:div>
    <w:div w:id="555433562">
      <w:bodyDiv w:val="1"/>
      <w:marLeft w:val="0"/>
      <w:marRight w:val="0"/>
      <w:marTop w:val="0"/>
      <w:marBottom w:val="0"/>
      <w:divBdr>
        <w:top w:val="none" w:sz="0" w:space="0" w:color="auto"/>
        <w:left w:val="none" w:sz="0" w:space="0" w:color="auto"/>
        <w:bottom w:val="none" w:sz="0" w:space="0" w:color="auto"/>
        <w:right w:val="none" w:sz="0" w:space="0" w:color="auto"/>
      </w:divBdr>
    </w:div>
    <w:div w:id="613639695">
      <w:bodyDiv w:val="1"/>
      <w:marLeft w:val="0"/>
      <w:marRight w:val="0"/>
      <w:marTop w:val="0"/>
      <w:marBottom w:val="0"/>
      <w:divBdr>
        <w:top w:val="none" w:sz="0" w:space="0" w:color="auto"/>
        <w:left w:val="none" w:sz="0" w:space="0" w:color="auto"/>
        <w:bottom w:val="none" w:sz="0" w:space="0" w:color="auto"/>
        <w:right w:val="none" w:sz="0" w:space="0" w:color="auto"/>
      </w:divBdr>
    </w:div>
    <w:div w:id="620919598">
      <w:bodyDiv w:val="1"/>
      <w:marLeft w:val="0"/>
      <w:marRight w:val="0"/>
      <w:marTop w:val="0"/>
      <w:marBottom w:val="0"/>
      <w:divBdr>
        <w:top w:val="none" w:sz="0" w:space="0" w:color="auto"/>
        <w:left w:val="none" w:sz="0" w:space="0" w:color="auto"/>
        <w:bottom w:val="none" w:sz="0" w:space="0" w:color="auto"/>
        <w:right w:val="none" w:sz="0" w:space="0" w:color="auto"/>
      </w:divBdr>
    </w:div>
    <w:div w:id="665673386">
      <w:bodyDiv w:val="1"/>
      <w:marLeft w:val="0"/>
      <w:marRight w:val="0"/>
      <w:marTop w:val="0"/>
      <w:marBottom w:val="0"/>
      <w:divBdr>
        <w:top w:val="none" w:sz="0" w:space="0" w:color="auto"/>
        <w:left w:val="none" w:sz="0" w:space="0" w:color="auto"/>
        <w:bottom w:val="none" w:sz="0" w:space="0" w:color="auto"/>
        <w:right w:val="none" w:sz="0" w:space="0" w:color="auto"/>
      </w:divBdr>
    </w:div>
    <w:div w:id="685595948">
      <w:bodyDiv w:val="1"/>
      <w:marLeft w:val="0"/>
      <w:marRight w:val="0"/>
      <w:marTop w:val="0"/>
      <w:marBottom w:val="0"/>
      <w:divBdr>
        <w:top w:val="none" w:sz="0" w:space="0" w:color="auto"/>
        <w:left w:val="none" w:sz="0" w:space="0" w:color="auto"/>
        <w:bottom w:val="none" w:sz="0" w:space="0" w:color="auto"/>
        <w:right w:val="none" w:sz="0" w:space="0" w:color="auto"/>
      </w:divBdr>
    </w:div>
    <w:div w:id="713849297">
      <w:bodyDiv w:val="1"/>
      <w:marLeft w:val="0"/>
      <w:marRight w:val="0"/>
      <w:marTop w:val="0"/>
      <w:marBottom w:val="0"/>
      <w:divBdr>
        <w:top w:val="none" w:sz="0" w:space="0" w:color="auto"/>
        <w:left w:val="none" w:sz="0" w:space="0" w:color="auto"/>
        <w:bottom w:val="none" w:sz="0" w:space="0" w:color="auto"/>
        <w:right w:val="none" w:sz="0" w:space="0" w:color="auto"/>
      </w:divBdr>
    </w:div>
    <w:div w:id="740056033">
      <w:bodyDiv w:val="1"/>
      <w:marLeft w:val="0"/>
      <w:marRight w:val="0"/>
      <w:marTop w:val="0"/>
      <w:marBottom w:val="0"/>
      <w:divBdr>
        <w:top w:val="none" w:sz="0" w:space="0" w:color="auto"/>
        <w:left w:val="none" w:sz="0" w:space="0" w:color="auto"/>
        <w:bottom w:val="none" w:sz="0" w:space="0" w:color="auto"/>
        <w:right w:val="none" w:sz="0" w:space="0" w:color="auto"/>
      </w:divBdr>
    </w:div>
    <w:div w:id="746263687">
      <w:bodyDiv w:val="1"/>
      <w:marLeft w:val="0"/>
      <w:marRight w:val="0"/>
      <w:marTop w:val="0"/>
      <w:marBottom w:val="0"/>
      <w:divBdr>
        <w:top w:val="none" w:sz="0" w:space="0" w:color="auto"/>
        <w:left w:val="none" w:sz="0" w:space="0" w:color="auto"/>
        <w:bottom w:val="none" w:sz="0" w:space="0" w:color="auto"/>
        <w:right w:val="none" w:sz="0" w:space="0" w:color="auto"/>
      </w:divBdr>
    </w:div>
    <w:div w:id="780687421">
      <w:bodyDiv w:val="1"/>
      <w:marLeft w:val="0"/>
      <w:marRight w:val="0"/>
      <w:marTop w:val="0"/>
      <w:marBottom w:val="0"/>
      <w:divBdr>
        <w:top w:val="none" w:sz="0" w:space="0" w:color="auto"/>
        <w:left w:val="none" w:sz="0" w:space="0" w:color="auto"/>
        <w:bottom w:val="none" w:sz="0" w:space="0" w:color="auto"/>
        <w:right w:val="none" w:sz="0" w:space="0" w:color="auto"/>
      </w:divBdr>
    </w:div>
    <w:div w:id="917400742">
      <w:bodyDiv w:val="1"/>
      <w:marLeft w:val="0"/>
      <w:marRight w:val="0"/>
      <w:marTop w:val="0"/>
      <w:marBottom w:val="0"/>
      <w:divBdr>
        <w:top w:val="none" w:sz="0" w:space="0" w:color="auto"/>
        <w:left w:val="none" w:sz="0" w:space="0" w:color="auto"/>
        <w:bottom w:val="none" w:sz="0" w:space="0" w:color="auto"/>
        <w:right w:val="none" w:sz="0" w:space="0" w:color="auto"/>
      </w:divBdr>
    </w:div>
    <w:div w:id="1008872553">
      <w:bodyDiv w:val="1"/>
      <w:marLeft w:val="0"/>
      <w:marRight w:val="0"/>
      <w:marTop w:val="0"/>
      <w:marBottom w:val="0"/>
      <w:divBdr>
        <w:top w:val="none" w:sz="0" w:space="0" w:color="auto"/>
        <w:left w:val="none" w:sz="0" w:space="0" w:color="auto"/>
        <w:bottom w:val="none" w:sz="0" w:space="0" w:color="auto"/>
        <w:right w:val="none" w:sz="0" w:space="0" w:color="auto"/>
      </w:divBdr>
    </w:div>
    <w:div w:id="1029842049">
      <w:bodyDiv w:val="1"/>
      <w:marLeft w:val="0"/>
      <w:marRight w:val="0"/>
      <w:marTop w:val="0"/>
      <w:marBottom w:val="0"/>
      <w:divBdr>
        <w:top w:val="none" w:sz="0" w:space="0" w:color="auto"/>
        <w:left w:val="none" w:sz="0" w:space="0" w:color="auto"/>
        <w:bottom w:val="none" w:sz="0" w:space="0" w:color="auto"/>
        <w:right w:val="none" w:sz="0" w:space="0" w:color="auto"/>
      </w:divBdr>
    </w:div>
    <w:div w:id="1038630563">
      <w:bodyDiv w:val="1"/>
      <w:marLeft w:val="0"/>
      <w:marRight w:val="0"/>
      <w:marTop w:val="0"/>
      <w:marBottom w:val="0"/>
      <w:divBdr>
        <w:top w:val="none" w:sz="0" w:space="0" w:color="auto"/>
        <w:left w:val="none" w:sz="0" w:space="0" w:color="auto"/>
        <w:bottom w:val="none" w:sz="0" w:space="0" w:color="auto"/>
        <w:right w:val="none" w:sz="0" w:space="0" w:color="auto"/>
      </w:divBdr>
    </w:div>
    <w:div w:id="1074620259">
      <w:bodyDiv w:val="1"/>
      <w:marLeft w:val="0"/>
      <w:marRight w:val="0"/>
      <w:marTop w:val="0"/>
      <w:marBottom w:val="0"/>
      <w:divBdr>
        <w:top w:val="none" w:sz="0" w:space="0" w:color="auto"/>
        <w:left w:val="none" w:sz="0" w:space="0" w:color="auto"/>
        <w:bottom w:val="none" w:sz="0" w:space="0" w:color="auto"/>
        <w:right w:val="none" w:sz="0" w:space="0" w:color="auto"/>
      </w:divBdr>
    </w:div>
    <w:div w:id="1268731007">
      <w:bodyDiv w:val="1"/>
      <w:marLeft w:val="0"/>
      <w:marRight w:val="0"/>
      <w:marTop w:val="0"/>
      <w:marBottom w:val="0"/>
      <w:divBdr>
        <w:top w:val="none" w:sz="0" w:space="0" w:color="auto"/>
        <w:left w:val="none" w:sz="0" w:space="0" w:color="auto"/>
        <w:bottom w:val="none" w:sz="0" w:space="0" w:color="auto"/>
        <w:right w:val="none" w:sz="0" w:space="0" w:color="auto"/>
      </w:divBdr>
    </w:div>
    <w:div w:id="1286958972">
      <w:bodyDiv w:val="1"/>
      <w:marLeft w:val="0"/>
      <w:marRight w:val="0"/>
      <w:marTop w:val="0"/>
      <w:marBottom w:val="0"/>
      <w:divBdr>
        <w:top w:val="none" w:sz="0" w:space="0" w:color="auto"/>
        <w:left w:val="none" w:sz="0" w:space="0" w:color="auto"/>
        <w:bottom w:val="none" w:sz="0" w:space="0" w:color="auto"/>
        <w:right w:val="none" w:sz="0" w:space="0" w:color="auto"/>
      </w:divBdr>
    </w:div>
    <w:div w:id="1299724395">
      <w:bodyDiv w:val="1"/>
      <w:marLeft w:val="0"/>
      <w:marRight w:val="0"/>
      <w:marTop w:val="0"/>
      <w:marBottom w:val="0"/>
      <w:divBdr>
        <w:top w:val="none" w:sz="0" w:space="0" w:color="auto"/>
        <w:left w:val="none" w:sz="0" w:space="0" w:color="auto"/>
        <w:bottom w:val="none" w:sz="0" w:space="0" w:color="auto"/>
        <w:right w:val="none" w:sz="0" w:space="0" w:color="auto"/>
      </w:divBdr>
    </w:div>
    <w:div w:id="1306543346">
      <w:bodyDiv w:val="1"/>
      <w:marLeft w:val="0"/>
      <w:marRight w:val="0"/>
      <w:marTop w:val="0"/>
      <w:marBottom w:val="0"/>
      <w:divBdr>
        <w:top w:val="none" w:sz="0" w:space="0" w:color="auto"/>
        <w:left w:val="none" w:sz="0" w:space="0" w:color="auto"/>
        <w:bottom w:val="none" w:sz="0" w:space="0" w:color="auto"/>
        <w:right w:val="none" w:sz="0" w:space="0" w:color="auto"/>
      </w:divBdr>
    </w:div>
    <w:div w:id="1307860911">
      <w:bodyDiv w:val="1"/>
      <w:marLeft w:val="0"/>
      <w:marRight w:val="0"/>
      <w:marTop w:val="0"/>
      <w:marBottom w:val="0"/>
      <w:divBdr>
        <w:top w:val="none" w:sz="0" w:space="0" w:color="auto"/>
        <w:left w:val="none" w:sz="0" w:space="0" w:color="auto"/>
        <w:bottom w:val="none" w:sz="0" w:space="0" w:color="auto"/>
        <w:right w:val="none" w:sz="0" w:space="0" w:color="auto"/>
      </w:divBdr>
    </w:div>
    <w:div w:id="1358582010">
      <w:bodyDiv w:val="1"/>
      <w:marLeft w:val="0"/>
      <w:marRight w:val="0"/>
      <w:marTop w:val="0"/>
      <w:marBottom w:val="0"/>
      <w:divBdr>
        <w:top w:val="none" w:sz="0" w:space="0" w:color="auto"/>
        <w:left w:val="none" w:sz="0" w:space="0" w:color="auto"/>
        <w:bottom w:val="none" w:sz="0" w:space="0" w:color="auto"/>
        <w:right w:val="none" w:sz="0" w:space="0" w:color="auto"/>
      </w:divBdr>
    </w:div>
    <w:div w:id="1450081090">
      <w:bodyDiv w:val="1"/>
      <w:marLeft w:val="0"/>
      <w:marRight w:val="0"/>
      <w:marTop w:val="0"/>
      <w:marBottom w:val="0"/>
      <w:divBdr>
        <w:top w:val="none" w:sz="0" w:space="0" w:color="auto"/>
        <w:left w:val="none" w:sz="0" w:space="0" w:color="auto"/>
        <w:bottom w:val="none" w:sz="0" w:space="0" w:color="auto"/>
        <w:right w:val="none" w:sz="0" w:space="0" w:color="auto"/>
      </w:divBdr>
    </w:div>
    <w:div w:id="1511868335">
      <w:bodyDiv w:val="1"/>
      <w:marLeft w:val="0"/>
      <w:marRight w:val="0"/>
      <w:marTop w:val="0"/>
      <w:marBottom w:val="0"/>
      <w:divBdr>
        <w:top w:val="none" w:sz="0" w:space="0" w:color="auto"/>
        <w:left w:val="none" w:sz="0" w:space="0" w:color="auto"/>
        <w:bottom w:val="none" w:sz="0" w:space="0" w:color="auto"/>
        <w:right w:val="none" w:sz="0" w:space="0" w:color="auto"/>
      </w:divBdr>
    </w:div>
    <w:div w:id="1582908366">
      <w:bodyDiv w:val="1"/>
      <w:marLeft w:val="0"/>
      <w:marRight w:val="0"/>
      <w:marTop w:val="0"/>
      <w:marBottom w:val="0"/>
      <w:divBdr>
        <w:top w:val="none" w:sz="0" w:space="0" w:color="auto"/>
        <w:left w:val="none" w:sz="0" w:space="0" w:color="auto"/>
        <w:bottom w:val="none" w:sz="0" w:space="0" w:color="auto"/>
        <w:right w:val="none" w:sz="0" w:space="0" w:color="auto"/>
      </w:divBdr>
    </w:div>
    <w:div w:id="1603104290">
      <w:bodyDiv w:val="1"/>
      <w:marLeft w:val="0"/>
      <w:marRight w:val="0"/>
      <w:marTop w:val="0"/>
      <w:marBottom w:val="0"/>
      <w:divBdr>
        <w:top w:val="none" w:sz="0" w:space="0" w:color="auto"/>
        <w:left w:val="none" w:sz="0" w:space="0" w:color="auto"/>
        <w:bottom w:val="none" w:sz="0" w:space="0" w:color="auto"/>
        <w:right w:val="none" w:sz="0" w:space="0" w:color="auto"/>
      </w:divBdr>
    </w:div>
    <w:div w:id="1682929511">
      <w:bodyDiv w:val="1"/>
      <w:marLeft w:val="0"/>
      <w:marRight w:val="0"/>
      <w:marTop w:val="0"/>
      <w:marBottom w:val="0"/>
      <w:divBdr>
        <w:top w:val="none" w:sz="0" w:space="0" w:color="auto"/>
        <w:left w:val="none" w:sz="0" w:space="0" w:color="auto"/>
        <w:bottom w:val="none" w:sz="0" w:space="0" w:color="auto"/>
        <w:right w:val="none" w:sz="0" w:space="0" w:color="auto"/>
      </w:divBdr>
    </w:div>
    <w:div w:id="1727994820">
      <w:bodyDiv w:val="1"/>
      <w:marLeft w:val="0"/>
      <w:marRight w:val="0"/>
      <w:marTop w:val="0"/>
      <w:marBottom w:val="0"/>
      <w:divBdr>
        <w:top w:val="none" w:sz="0" w:space="0" w:color="auto"/>
        <w:left w:val="none" w:sz="0" w:space="0" w:color="auto"/>
        <w:bottom w:val="none" w:sz="0" w:space="0" w:color="auto"/>
        <w:right w:val="none" w:sz="0" w:space="0" w:color="auto"/>
      </w:divBdr>
    </w:div>
    <w:div w:id="1921328162">
      <w:bodyDiv w:val="1"/>
      <w:marLeft w:val="0"/>
      <w:marRight w:val="0"/>
      <w:marTop w:val="0"/>
      <w:marBottom w:val="0"/>
      <w:divBdr>
        <w:top w:val="none" w:sz="0" w:space="0" w:color="auto"/>
        <w:left w:val="none" w:sz="0" w:space="0" w:color="auto"/>
        <w:bottom w:val="none" w:sz="0" w:space="0" w:color="auto"/>
        <w:right w:val="none" w:sz="0" w:space="0" w:color="auto"/>
      </w:divBdr>
    </w:div>
    <w:div w:id="1923904116">
      <w:bodyDiv w:val="1"/>
      <w:marLeft w:val="0"/>
      <w:marRight w:val="0"/>
      <w:marTop w:val="0"/>
      <w:marBottom w:val="0"/>
      <w:divBdr>
        <w:top w:val="none" w:sz="0" w:space="0" w:color="auto"/>
        <w:left w:val="none" w:sz="0" w:space="0" w:color="auto"/>
        <w:bottom w:val="none" w:sz="0" w:space="0" w:color="auto"/>
        <w:right w:val="none" w:sz="0" w:space="0" w:color="auto"/>
      </w:divBdr>
    </w:div>
    <w:div w:id="1956324795">
      <w:bodyDiv w:val="1"/>
      <w:marLeft w:val="0"/>
      <w:marRight w:val="0"/>
      <w:marTop w:val="0"/>
      <w:marBottom w:val="0"/>
      <w:divBdr>
        <w:top w:val="none" w:sz="0" w:space="0" w:color="auto"/>
        <w:left w:val="none" w:sz="0" w:space="0" w:color="auto"/>
        <w:bottom w:val="none" w:sz="0" w:space="0" w:color="auto"/>
        <w:right w:val="none" w:sz="0" w:space="0" w:color="auto"/>
      </w:divBdr>
    </w:div>
    <w:div w:id="1969121923">
      <w:bodyDiv w:val="1"/>
      <w:marLeft w:val="0"/>
      <w:marRight w:val="0"/>
      <w:marTop w:val="0"/>
      <w:marBottom w:val="0"/>
      <w:divBdr>
        <w:top w:val="none" w:sz="0" w:space="0" w:color="auto"/>
        <w:left w:val="none" w:sz="0" w:space="0" w:color="auto"/>
        <w:bottom w:val="none" w:sz="0" w:space="0" w:color="auto"/>
        <w:right w:val="none" w:sz="0" w:space="0" w:color="auto"/>
      </w:divBdr>
    </w:div>
    <w:div w:id="1993943963">
      <w:bodyDiv w:val="1"/>
      <w:marLeft w:val="0"/>
      <w:marRight w:val="0"/>
      <w:marTop w:val="0"/>
      <w:marBottom w:val="0"/>
      <w:divBdr>
        <w:top w:val="none" w:sz="0" w:space="0" w:color="auto"/>
        <w:left w:val="none" w:sz="0" w:space="0" w:color="auto"/>
        <w:bottom w:val="none" w:sz="0" w:space="0" w:color="auto"/>
        <w:right w:val="none" w:sz="0" w:space="0" w:color="auto"/>
      </w:divBdr>
      <w:divsChild>
        <w:div w:id="643319067">
          <w:marLeft w:val="547"/>
          <w:marRight w:val="0"/>
          <w:marTop w:val="0"/>
          <w:marBottom w:val="120"/>
          <w:divBdr>
            <w:top w:val="none" w:sz="0" w:space="0" w:color="auto"/>
            <w:left w:val="none" w:sz="0" w:space="0" w:color="auto"/>
            <w:bottom w:val="none" w:sz="0" w:space="0" w:color="auto"/>
            <w:right w:val="none" w:sz="0" w:space="0" w:color="auto"/>
          </w:divBdr>
        </w:div>
        <w:div w:id="1174294871">
          <w:marLeft w:val="547"/>
          <w:marRight w:val="0"/>
          <w:marTop w:val="0"/>
          <w:marBottom w:val="120"/>
          <w:divBdr>
            <w:top w:val="none" w:sz="0" w:space="0" w:color="auto"/>
            <w:left w:val="none" w:sz="0" w:space="0" w:color="auto"/>
            <w:bottom w:val="none" w:sz="0" w:space="0" w:color="auto"/>
            <w:right w:val="none" w:sz="0" w:space="0" w:color="auto"/>
          </w:divBdr>
        </w:div>
        <w:div w:id="2059622890">
          <w:marLeft w:val="547"/>
          <w:marRight w:val="0"/>
          <w:marTop w:val="0"/>
          <w:marBottom w:val="120"/>
          <w:divBdr>
            <w:top w:val="none" w:sz="0" w:space="0" w:color="auto"/>
            <w:left w:val="none" w:sz="0" w:space="0" w:color="auto"/>
            <w:bottom w:val="none" w:sz="0" w:space="0" w:color="auto"/>
            <w:right w:val="none" w:sz="0" w:space="0" w:color="auto"/>
          </w:divBdr>
        </w:div>
        <w:div w:id="388379378">
          <w:marLeft w:val="547"/>
          <w:marRight w:val="0"/>
          <w:marTop w:val="0"/>
          <w:marBottom w:val="120"/>
          <w:divBdr>
            <w:top w:val="none" w:sz="0" w:space="0" w:color="auto"/>
            <w:left w:val="none" w:sz="0" w:space="0" w:color="auto"/>
            <w:bottom w:val="none" w:sz="0" w:space="0" w:color="auto"/>
            <w:right w:val="none" w:sz="0" w:space="0" w:color="auto"/>
          </w:divBdr>
        </w:div>
        <w:div w:id="2079280425">
          <w:marLeft w:val="547"/>
          <w:marRight w:val="0"/>
          <w:marTop w:val="0"/>
          <w:marBottom w:val="120"/>
          <w:divBdr>
            <w:top w:val="none" w:sz="0" w:space="0" w:color="auto"/>
            <w:left w:val="none" w:sz="0" w:space="0" w:color="auto"/>
            <w:bottom w:val="none" w:sz="0" w:space="0" w:color="auto"/>
            <w:right w:val="none" w:sz="0" w:space="0" w:color="auto"/>
          </w:divBdr>
        </w:div>
        <w:div w:id="1268200521">
          <w:marLeft w:val="547"/>
          <w:marRight w:val="0"/>
          <w:marTop w:val="0"/>
          <w:marBottom w:val="120"/>
          <w:divBdr>
            <w:top w:val="none" w:sz="0" w:space="0" w:color="auto"/>
            <w:left w:val="none" w:sz="0" w:space="0" w:color="auto"/>
            <w:bottom w:val="none" w:sz="0" w:space="0" w:color="auto"/>
            <w:right w:val="none" w:sz="0" w:space="0" w:color="auto"/>
          </w:divBdr>
        </w:div>
        <w:div w:id="583808528">
          <w:marLeft w:val="547"/>
          <w:marRight w:val="0"/>
          <w:marTop w:val="0"/>
          <w:marBottom w:val="120"/>
          <w:divBdr>
            <w:top w:val="none" w:sz="0" w:space="0" w:color="auto"/>
            <w:left w:val="none" w:sz="0" w:space="0" w:color="auto"/>
            <w:bottom w:val="none" w:sz="0" w:space="0" w:color="auto"/>
            <w:right w:val="none" w:sz="0" w:space="0" w:color="auto"/>
          </w:divBdr>
        </w:div>
        <w:div w:id="1906407576">
          <w:marLeft w:val="547"/>
          <w:marRight w:val="0"/>
          <w:marTop w:val="0"/>
          <w:marBottom w:val="120"/>
          <w:divBdr>
            <w:top w:val="none" w:sz="0" w:space="0" w:color="auto"/>
            <w:left w:val="none" w:sz="0" w:space="0" w:color="auto"/>
            <w:bottom w:val="none" w:sz="0" w:space="0" w:color="auto"/>
            <w:right w:val="none" w:sz="0" w:space="0" w:color="auto"/>
          </w:divBdr>
        </w:div>
        <w:div w:id="798258467">
          <w:marLeft w:val="547"/>
          <w:marRight w:val="0"/>
          <w:marTop w:val="0"/>
          <w:marBottom w:val="120"/>
          <w:divBdr>
            <w:top w:val="none" w:sz="0" w:space="0" w:color="auto"/>
            <w:left w:val="none" w:sz="0" w:space="0" w:color="auto"/>
            <w:bottom w:val="none" w:sz="0" w:space="0" w:color="auto"/>
            <w:right w:val="none" w:sz="0" w:space="0" w:color="auto"/>
          </w:divBdr>
        </w:div>
        <w:div w:id="447045965">
          <w:marLeft w:val="547"/>
          <w:marRight w:val="0"/>
          <w:marTop w:val="0"/>
          <w:marBottom w:val="120"/>
          <w:divBdr>
            <w:top w:val="none" w:sz="0" w:space="0" w:color="auto"/>
            <w:left w:val="none" w:sz="0" w:space="0" w:color="auto"/>
            <w:bottom w:val="none" w:sz="0" w:space="0" w:color="auto"/>
            <w:right w:val="none" w:sz="0" w:space="0" w:color="auto"/>
          </w:divBdr>
        </w:div>
        <w:div w:id="1518156820">
          <w:marLeft w:val="547"/>
          <w:marRight w:val="0"/>
          <w:marTop w:val="0"/>
          <w:marBottom w:val="120"/>
          <w:divBdr>
            <w:top w:val="none" w:sz="0" w:space="0" w:color="auto"/>
            <w:left w:val="none" w:sz="0" w:space="0" w:color="auto"/>
            <w:bottom w:val="none" w:sz="0" w:space="0" w:color="auto"/>
            <w:right w:val="none" w:sz="0" w:space="0" w:color="auto"/>
          </w:divBdr>
        </w:div>
      </w:divsChild>
    </w:div>
    <w:div w:id="1997494500">
      <w:bodyDiv w:val="1"/>
      <w:marLeft w:val="0"/>
      <w:marRight w:val="0"/>
      <w:marTop w:val="0"/>
      <w:marBottom w:val="0"/>
      <w:divBdr>
        <w:top w:val="none" w:sz="0" w:space="0" w:color="auto"/>
        <w:left w:val="none" w:sz="0" w:space="0" w:color="auto"/>
        <w:bottom w:val="none" w:sz="0" w:space="0" w:color="auto"/>
        <w:right w:val="none" w:sz="0" w:space="0" w:color="auto"/>
      </w:divBdr>
    </w:div>
    <w:div w:id="20597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www.relaser.org/" TargetMode="External"/><Relationship Id="rId3" Type="http://schemas.openxmlformats.org/officeDocument/2006/relationships/styles" Target="styles.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32" Type="http://schemas.openxmlformats.org/officeDocument/2006/relationships/customXml" Target="../customXml/item2.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cid:image001.png@01D4E577.A2472EF0"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35"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832AD2-5BD0-4AC3-9DD3-185A6B1500D9}" type="doc">
      <dgm:prSet loTypeId="urn:microsoft.com/office/officeart/2005/8/layout/funnel1" loCatId="process" qsTypeId="urn:microsoft.com/office/officeart/2005/8/quickstyle/simple1" qsCatId="simple" csTypeId="urn:microsoft.com/office/officeart/2005/8/colors/colorful5" csCatId="colorful" phldr="1"/>
      <dgm:spPr/>
      <dgm:t>
        <a:bodyPr/>
        <a:lstStyle/>
        <a:p>
          <a:endParaRPr lang="es-CO"/>
        </a:p>
      </dgm:t>
    </dgm:pt>
    <dgm:pt modelId="{75BD371F-6F43-4059-BBB8-CB170C80EA64}">
      <dgm:prSet phldrT="[Texto]"/>
      <dgm:spPr/>
      <dgm:t>
        <a:bodyPr/>
        <a:lstStyle/>
        <a:p>
          <a:r>
            <a:rPr lang="es-CO"/>
            <a:t>Usuarios potenciales PNIS</a:t>
          </a:r>
        </a:p>
      </dgm:t>
    </dgm:pt>
    <dgm:pt modelId="{4A2962AB-D3BC-4879-868A-0B2FB57580D7}" type="parTrans" cxnId="{61583026-B08E-4514-B1EB-9844F900B040}">
      <dgm:prSet/>
      <dgm:spPr/>
      <dgm:t>
        <a:bodyPr/>
        <a:lstStyle/>
        <a:p>
          <a:endParaRPr lang="es-CO"/>
        </a:p>
      </dgm:t>
    </dgm:pt>
    <dgm:pt modelId="{8436E9C2-2DF6-45E6-828A-DBB659F56F9B}" type="sibTrans" cxnId="{61583026-B08E-4514-B1EB-9844F900B040}">
      <dgm:prSet/>
      <dgm:spPr/>
      <dgm:t>
        <a:bodyPr/>
        <a:lstStyle/>
        <a:p>
          <a:endParaRPr lang="es-CO"/>
        </a:p>
      </dgm:t>
    </dgm:pt>
    <dgm:pt modelId="{8859D6DA-DF82-4900-A554-0193939B6D80}">
      <dgm:prSet phldrT="[Texto]"/>
      <dgm:spPr/>
      <dgm:t>
        <a:bodyPr/>
        <a:lstStyle/>
        <a:p>
          <a:r>
            <a:rPr lang="es-CO"/>
            <a:t>Usuarios potenciales PDET</a:t>
          </a:r>
        </a:p>
      </dgm:t>
    </dgm:pt>
    <dgm:pt modelId="{9B1BF590-60C0-44AC-B5DA-387B2FE55E14}" type="parTrans" cxnId="{D1F5A816-D866-486F-9626-AC5952A25B3E}">
      <dgm:prSet/>
      <dgm:spPr/>
      <dgm:t>
        <a:bodyPr/>
        <a:lstStyle/>
        <a:p>
          <a:endParaRPr lang="es-CO"/>
        </a:p>
      </dgm:t>
    </dgm:pt>
    <dgm:pt modelId="{13A61469-2DDD-43AF-8AFA-4389C1752541}" type="sibTrans" cxnId="{D1F5A816-D866-486F-9626-AC5952A25B3E}">
      <dgm:prSet/>
      <dgm:spPr/>
      <dgm:t>
        <a:bodyPr/>
        <a:lstStyle/>
        <a:p>
          <a:endParaRPr lang="es-CO"/>
        </a:p>
      </dgm:t>
    </dgm:pt>
    <dgm:pt modelId="{0D9D9601-C65F-42B2-A75D-0E2CE912FDF9}">
      <dgm:prSet phldrT="[Texto]"/>
      <dgm:spPr/>
      <dgm:t>
        <a:bodyPr/>
        <a:lstStyle/>
        <a:p>
          <a:r>
            <a:rPr lang="es-CO"/>
            <a:t>Usuarios potenciales de los PIDAR </a:t>
          </a:r>
        </a:p>
      </dgm:t>
    </dgm:pt>
    <dgm:pt modelId="{3DD14892-5424-4D61-ADB7-6062AF3721EF}" type="parTrans" cxnId="{FDA0E933-F62B-4384-9079-823CFC63A240}">
      <dgm:prSet/>
      <dgm:spPr/>
      <dgm:t>
        <a:bodyPr/>
        <a:lstStyle/>
        <a:p>
          <a:endParaRPr lang="es-CO"/>
        </a:p>
      </dgm:t>
    </dgm:pt>
    <dgm:pt modelId="{BABB817F-2E9D-4441-AE52-CECFBB3DBFC9}" type="sibTrans" cxnId="{FDA0E933-F62B-4384-9079-823CFC63A240}">
      <dgm:prSet/>
      <dgm:spPr/>
      <dgm:t>
        <a:bodyPr/>
        <a:lstStyle/>
        <a:p>
          <a:endParaRPr lang="es-CO"/>
        </a:p>
      </dgm:t>
    </dgm:pt>
    <dgm:pt modelId="{0D306051-38C2-492E-AC2E-00BA15AB6D80}">
      <dgm:prSet phldrT="[Texto]"/>
      <dgm:spPr/>
      <dgm:t>
        <a:bodyPr/>
        <a:lstStyle/>
        <a:p>
          <a:r>
            <a:rPr lang="es-CO" b="1"/>
            <a:t>Registro de usuarios de Extensión Agropecuaria</a:t>
          </a:r>
        </a:p>
      </dgm:t>
    </dgm:pt>
    <dgm:pt modelId="{D7123720-8FF6-40D7-93DA-B8369038CBFF}" type="parTrans" cxnId="{E82C0FA9-F423-48DF-B35D-63EBC3D3EEDF}">
      <dgm:prSet/>
      <dgm:spPr/>
      <dgm:t>
        <a:bodyPr/>
        <a:lstStyle/>
        <a:p>
          <a:endParaRPr lang="es-CO"/>
        </a:p>
      </dgm:t>
    </dgm:pt>
    <dgm:pt modelId="{786A57F3-D7E9-470B-A205-3EF735EC2629}" type="sibTrans" cxnId="{E82C0FA9-F423-48DF-B35D-63EBC3D3EEDF}">
      <dgm:prSet/>
      <dgm:spPr/>
      <dgm:t>
        <a:bodyPr/>
        <a:lstStyle/>
        <a:p>
          <a:endParaRPr lang="es-CO"/>
        </a:p>
      </dgm:t>
    </dgm:pt>
    <dgm:pt modelId="{4F14131F-BDD6-4C6A-9894-E67B91A2F680}" type="pres">
      <dgm:prSet presAssocID="{5D832AD2-5BD0-4AC3-9DD3-185A6B1500D9}" presName="Name0" presStyleCnt="0">
        <dgm:presLayoutVars>
          <dgm:chMax val="4"/>
          <dgm:resizeHandles val="exact"/>
        </dgm:presLayoutVars>
      </dgm:prSet>
      <dgm:spPr/>
      <dgm:t>
        <a:bodyPr/>
        <a:lstStyle/>
        <a:p>
          <a:endParaRPr lang="es-CO"/>
        </a:p>
      </dgm:t>
    </dgm:pt>
    <dgm:pt modelId="{8071850B-D9BF-4688-9AD7-F4138F7AD4C1}" type="pres">
      <dgm:prSet presAssocID="{5D832AD2-5BD0-4AC3-9DD3-185A6B1500D9}" presName="ellipse" presStyleLbl="trBgShp" presStyleIdx="0" presStyleCnt="1"/>
      <dgm:spPr/>
    </dgm:pt>
    <dgm:pt modelId="{AC658075-6349-4BFF-8C2D-B9A094D480FF}" type="pres">
      <dgm:prSet presAssocID="{5D832AD2-5BD0-4AC3-9DD3-185A6B1500D9}" presName="arrow1" presStyleLbl="fgShp" presStyleIdx="0" presStyleCnt="1"/>
      <dgm:spPr/>
    </dgm:pt>
    <dgm:pt modelId="{90BB6E1F-601D-413C-B589-0AB9B750A368}" type="pres">
      <dgm:prSet presAssocID="{5D832AD2-5BD0-4AC3-9DD3-185A6B1500D9}" presName="rectangle" presStyleLbl="revTx" presStyleIdx="0" presStyleCnt="1">
        <dgm:presLayoutVars>
          <dgm:bulletEnabled val="1"/>
        </dgm:presLayoutVars>
      </dgm:prSet>
      <dgm:spPr/>
      <dgm:t>
        <a:bodyPr/>
        <a:lstStyle/>
        <a:p>
          <a:endParaRPr lang="es-CO"/>
        </a:p>
      </dgm:t>
    </dgm:pt>
    <dgm:pt modelId="{257FECFD-0E17-48A8-888A-E7093EF75524}" type="pres">
      <dgm:prSet presAssocID="{8859D6DA-DF82-4900-A554-0193939B6D80}" presName="item1" presStyleLbl="node1" presStyleIdx="0" presStyleCnt="3">
        <dgm:presLayoutVars>
          <dgm:bulletEnabled val="1"/>
        </dgm:presLayoutVars>
      </dgm:prSet>
      <dgm:spPr/>
      <dgm:t>
        <a:bodyPr/>
        <a:lstStyle/>
        <a:p>
          <a:endParaRPr lang="es-CO"/>
        </a:p>
      </dgm:t>
    </dgm:pt>
    <dgm:pt modelId="{610AB37B-D037-4F2A-A3E8-49046A71EB26}" type="pres">
      <dgm:prSet presAssocID="{0D9D9601-C65F-42B2-A75D-0E2CE912FDF9}" presName="item2" presStyleLbl="node1" presStyleIdx="1" presStyleCnt="3">
        <dgm:presLayoutVars>
          <dgm:bulletEnabled val="1"/>
        </dgm:presLayoutVars>
      </dgm:prSet>
      <dgm:spPr/>
      <dgm:t>
        <a:bodyPr/>
        <a:lstStyle/>
        <a:p>
          <a:endParaRPr lang="es-CO"/>
        </a:p>
      </dgm:t>
    </dgm:pt>
    <dgm:pt modelId="{F0247B22-E64B-4228-9F1E-082CD83BB661}" type="pres">
      <dgm:prSet presAssocID="{0D306051-38C2-492E-AC2E-00BA15AB6D80}" presName="item3" presStyleLbl="node1" presStyleIdx="2" presStyleCnt="3">
        <dgm:presLayoutVars>
          <dgm:bulletEnabled val="1"/>
        </dgm:presLayoutVars>
      </dgm:prSet>
      <dgm:spPr/>
      <dgm:t>
        <a:bodyPr/>
        <a:lstStyle/>
        <a:p>
          <a:endParaRPr lang="es-CO"/>
        </a:p>
      </dgm:t>
    </dgm:pt>
    <dgm:pt modelId="{CC40EB0D-AD2B-47F2-9B31-88D5947612FD}" type="pres">
      <dgm:prSet presAssocID="{5D832AD2-5BD0-4AC3-9DD3-185A6B1500D9}" presName="funnel" presStyleLbl="trAlignAcc1" presStyleIdx="0" presStyleCnt="1"/>
      <dgm:spPr/>
    </dgm:pt>
  </dgm:ptLst>
  <dgm:cxnLst>
    <dgm:cxn modelId="{FDA0E933-F62B-4384-9079-823CFC63A240}" srcId="{5D832AD2-5BD0-4AC3-9DD3-185A6B1500D9}" destId="{0D9D9601-C65F-42B2-A75D-0E2CE912FDF9}" srcOrd="2" destOrd="0" parTransId="{3DD14892-5424-4D61-ADB7-6062AF3721EF}" sibTransId="{BABB817F-2E9D-4441-AE52-CECFBB3DBFC9}"/>
    <dgm:cxn modelId="{D1F5A816-D866-486F-9626-AC5952A25B3E}" srcId="{5D832AD2-5BD0-4AC3-9DD3-185A6B1500D9}" destId="{8859D6DA-DF82-4900-A554-0193939B6D80}" srcOrd="1" destOrd="0" parTransId="{9B1BF590-60C0-44AC-B5DA-387B2FE55E14}" sibTransId="{13A61469-2DDD-43AF-8AFA-4389C1752541}"/>
    <dgm:cxn modelId="{E82C0FA9-F423-48DF-B35D-63EBC3D3EEDF}" srcId="{5D832AD2-5BD0-4AC3-9DD3-185A6B1500D9}" destId="{0D306051-38C2-492E-AC2E-00BA15AB6D80}" srcOrd="3" destOrd="0" parTransId="{D7123720-8FF6-40D7-93DA-B8369038CBFF}" sibTransId="{786A57F3-D7E9-470B-A205-3EF735EC2629}"/>
    <dgm:cxn modelId="{151B8C88-1270-4EE3-8905-EF471A9F505B}" type="presOf" srcId="{75BD371F-6F43-4059-BBB8-CB170C80EA64}" destId="{F0247B22-E64B-4228-9F1E-082CD83BB661}" srcOrd="0" destOrd="0" presId="urn:microsoft.com/office/officeart/2005/8/layout/funnel1"/>
    <dgm:cxn modelId="{2FEB2223-33BC-43AE-95AD-0EDC0D759D2F}" type="presOf" srcId="{0D9D9601-C65F-42B2-A75D-0E2CE912FDF9}" destId="{257FECFD-0E17-48A8-888A-E7093EF75524}" srcOrd="0" destOrd="0" presId="urn:microsoft.com/office/officeart/2005/8/layout/funnel1"/>
    <dgm:cxn modelId="{2F8BF6A2-DC09-4864-AC51-72F73DB7B09F}" type="presOf" srcId="{8859D6DA-DF82-4900-A554-0193939B6D80}" destId="{610AB37B-D037-4F2A-A3E8-49046A71EB26}" srcOrd="0" destOrd="0" presId="urn:microsoft.com/office/officeart/2005/8/layout/funnel1"/>
    <dgm:cxn modelId="{1975DACE-6DD3-49C6-B96B-7EB6B0A21725}" type="presOf" srcId="{0D306051-38C2-492E-AC2E-00BA15AB6D80}" destId="{90BB6E1F-601D-413C-B589-0AB9B750A368}" srcOrd="0" destOrd="0" presId="urn:microsoft.com/office/officeart/2005/8/layout/funnel1"/>
    <dgm:cxn modelId="{61583026-B08E-4514-B1EB-9844F900B040}" srcId="{5D832AD2-5BD0-4AC3-9DD3-185A6B1500D9}" destId="{75BD371F-6F43-4059-BBB8-CB170C80EA64}" srcOrd="0" destOrd="0" parTransId="{4A2962AB-D3BC-4879-868A-0B2FB57580D7}" sibTransId="{8436E9C2-2DF6-45E6-828A-DBB659F56F9B}"/>
    <dgm:cxn modelId="{4E7B7E88-A008-450F-97D1-A4D1FD4E2D32}" type="presOf" srcId="{5D832AD2-5BD0-4AC3-9DD3-185A6B1500D9}" destId="{4F14131F-BDD6-4C6A-9894-E67B91A2F680}" srcOrd="0" destOrd="0" presId="urn:microsoft.com/office/officeart/2005/8/layout/funnel1"/>
    <dgm:cxn modelId="{9CFA5ED6-AD59-4C6B-9818-79AC1E10AC94}" type="presParOf" srcId="{4F14131F-BDD6-4C6A-9894-E67B91A2F680}" destId="{8071850B-D9BF-4688-9AD7-F4138F7AD4C1}" srcOrd="0" destOrd="0" presId="urn:microsoft.com/office/officeart/2005/8/layout/funnel1"/>
    <dgm:cxn modelId="{CF8E64B7-9425-485B-89C9-C64D28DA3768}" type="presParOf" srcId="{4F14131F-BDD6-4C6A-9894-E67B91A2F680}" destId="{AC658075-6349-4BFF-8C2D-B9A094D480FF}" srcOrd="1" destOrd="0" presId="urn:microsoft.com/office/officeart/2005/8/layout/funnel1"/>
    <dgm:cxn modelId="{A3C2990B-5BC0-4938-9B54-A849780F5418}" type="presParOf" srcId="{4F14131F-BDD6-4C6A-9894-E67B91A2F680}" destId="{90BB6E1F-601D-413C-B589-0AB9B750A368}" srcOrd="2" destOrd="0" presId="urn:microsoft.com/office/officeart/2005/8/layout/funnel1"/>
    <dgm:cxn modelId="{BD3DD835-7EA7-48AC-A2A5-9198B3C9EF04}" type="presParOf" srcId="{4F14131F-BDD6-4C6A-9894-E67B91A2F680}" destId="{257FECFD-0E17-48A8-888A-E7093EF75524}" srcOrd="3" destOrd="0" presId="urn:microsoft.com/office/officeart/2005/8/layout/funnel1"/>
    <dgm:cxn modelId="{B237D745-D8BA-443B-96FE-9F0F29DA3F44}" type="presParOf" srcId="{4F14131F-BDD6-4C6A-9894-E67B91A2F680}" destId="{610AB37B-D037-4F2A-A3E8-49046A71EB26}" srcOrd="4" destOrd="0" presId="urn:microsoft.com/office/officeart/2005/8/layout/funnel1"/>
    <dgm:cxn modelId="{E4D22CCF-BC46-4B94-B1E8-47F58893B2FA}" type="presParOf" srcId="{4F14131F-BDD6-4C6A-9894-E67B91A2F680}" destId="{F0247B22-E64B-4228-9F1E-082CD83BB661}" srcOrd="5" destOrd="0" presId="urn:microsoft.com/office/officeart/2005/8/layout/funnel1"/>
    <dgm:cxn modelId="{9A6113B6-1699-48CE-94A5-01CF6845DF3D}" type="presParOf" srcId="{4F14131F-BDD6-4C6A-9894-E67B91A2F680}" destId="{CC40EB0D-AD2B-47F2-9B31-88D5947612FD}" srcOrd="6" destOrd="0" presId="urn:microsoft.com/office/officeart/2005/8/layout/funne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71850B-D9BF-4688-9AD7-F4138F7AD4C1}">
      <dsp:nvSpPr>
        <dsp:cNvPr id="0" name=""/>
        <dsp:cNvSpPr/>
      </dsp:nvSpPr>
      <dsp:spPr>
        <a:xfrm>
          <a:off x="911017" y="88433"/>
          <a:ext cx="1755059" cy="609509"/>
        </a:xfrm>
        <a:prstGeom prst="ellipse">
          <a:avLst/>
        </a:prstGeom>
        <a:solidFill>
          <a:schemeClr val="accent5">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C658075-6349-4BFF-8C2D-B9A094D480FF}">
      <dsp:nvSpPr>
        <dsp:cNvPr id="0" name=""/>
        <dsp:cNvSpPr/>
      </dsp:nvSpPr>
      <dsp:spPr>
        <a:xfrm>
          <a:off x="1621204" y="1580914"/>
          <a:ext cx="340127" cy="217681"/>
        </a:xfrm>
        <a:prstGeom prst="downArrow">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0BB6E1F-601D-413C-B589-0AB9B750A368}">
      <dsp:nvSpPr>
        <dsp:cNvPr id="0" name=""/>
        <dsp:cNvSpPr/>
      </dsp:nvSpPr>
      <dsp:spPr>
        <a:xfrm>
          <a:off x="974961" y="1755059"/>
          <a:ext cx="1632613" cy="4081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b="1" kern="1200"/>
            <a:t>Registro de usuarios de Extensión Agropecuaria</a:t>
          </a:r>
        </a:p>
      </dsp:txBody>
      <dsp:txXfrm>
        <a:off x="974961" y="1755059"/>
        <a:ext cx="1632613" cy="408153"/>
      </dsp:txXfrm>
    </dsp:sp>
    <dsp:sp modelId="{257FECFD-0E17-48A8-888A-E7093EF75524}">
      <dsp:nvSpPr>
        <dsp:cNvPr id="0" name=""/>
        <dsp:cNvSpPr/>
      </dsp:nvSpPr>
      <dsp:spPr>
        <a:xfrm>
          <a:off x="1549097" y="745015"/>
          <a:ext cx="612230" cy="61223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Usuarios potenciales de los PIDAR </a:t>
          </a:r>
        </a:p>
      </dsp:txBody>
      <dsp:txXfrm>
        <a:off x="1638756" y="834674"/>
        <a:ext cx="432912" cy="432912"/>
      </dsp:txXfrm>
    </dsp:sp>
    <dsp:sp modelId="{610AB37B-D037-4F2A-A3E8-49046A71EB26}">
      <dsp:nvSpPr>
        <dsp:cNvPr id="0" name=""/>
        <dsp:cNvSpPr/>
      </dsp:nvSpPr>
      <dsp:spPr>
        <a:xfrm>
          <a:off x="1111012" y="285707"/>
          <a:ext cx="612230" cy="612230"/>
        </a:xfrm>
        <a:prstGeom prst="ellipse">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Usuarios potenciales PDET</a:t>
          </a:r>
        </a:p>
      </dsp:txBody>
      <dsp:txXfrm>
        <a:off x="1200671" y="375366"/>
        <a:ext cx="432912" cy="432912"/>
      </dsp:txXfrm>
    </dsp:sp>
    <dsp:sp modelId="{F0247B22-E64B-4228-9F1E-082CD83BB661}">
      <dsp:nvSpPr>
        <dsp:cNvPr id="0" name=""/>
        <dsp:cNvSpPr/>
      </dsp:nvSpPr>
      <dsp:spPr>
        <a:xfrm>
          <a:off x="1736848" y="137683"/>
          <a:ext cx="612230" cy="612230"/>
        </a:xfrm>
        <a:prstGeom prst="ellips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O" sz="700" kern="1200"/>
            <a:t>Usuarios potenciales PNIS</a:t>
          </a:r>
        </a:p>
      </dsp:txBody>
      <dsp:txXfrm>
        <a:off x="1826507" y="227342"/>
        <a:ext cx="432912" cy="432912"/>
      </dsp:txXfrm>
    </dsp:sp>
    <dsp:sp modelId="{CC40EB0D-AD2B-47F2-9B31-88D5947612FD}">
      <dsp:nvSpPr>
        <dsp:cNvPr id="0" name=""/>
        <dsp:cNvSpPr/>
      </dsp:nvSpPr>
      <dsp:spPr>
        <a:xfrm>
          <a:off x="838910" y="13605"/>
          <a:ext cx="1904715" cy="1523772"/>
        </a:xfrm>
        <a:prstGeom prst="funnel">
          <a:avLst/>
        </a:prstGeom>
        <a:solidFill>
          <a:schemeClr val="lt1">
            <a:alpha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F70A6A14EB2B6478ED391A32F5E62D7" ma:contentTypeVersion="1" ma:contentTypeDescription="Crear nuevo documento." ma:contentTypeScope="" ma:versionID="4727113841d26abb8bb3bd0bda88e684">
  <xsd:schema xmlns:xsd="http://www.w3.org/2001/XMLSchema" xmlns:xs="http://www.w3.org/2001/XMLSchema" xmlns:p="http://schemas.microsoft.com/office/2006/metadata/properties" xmlns:ns1="http://schemas.microsoft.com/sharepoint/v3" xmlns:ns2="182591e6-0f8c-49be-857d-34c2e2210ef9" targetNamespace="http://schemas.microsoft.com/office/2006/metadata/properties" ma:root="true" ma:fieldsID="fa24b7de27d7ed97a9d85e582b7102b0" ns1:_="" ns2:_="">
    <xsd:import namespace="http://schemas.microsoft.com/sharepoint/v3"/>
    <xsd:import namespace="182591e6-0f8c-49be-857d-34c2e2210e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591e6-0f8c-49be-857d-34c2e2210ef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82591e6-0f8c-49be-857d-34c2e2210ef9">C6HDPSSWJME2-51172537-124</_dlc_DocId>
    <_dlc_DocIdUrl xmlns="182591e6-0f8c-49be-857d-34c2e2210ef9">
      <Url>https://www.minagricultura.gov.co/ministerio/direcciones/_layouts/15/DocIdRedir.aspx?ID=C6HDPSSWJME2-51172537-124</Url>
      <Description>C6HDPSSWJME2-51172537-124</Description>
    </_dlc_DocIdUrl>
  </documentManagement>
</p:properties>
</file>

<file path=customXml/itemProps1.xml><?xml version="1.0" encoding="utf-8"?>
<ds:datastoreItem xmlns:ds="http://schemas.openxmlformats.org/officeDocument/2006/customXml" ds:itemID="{363C125B-6365-44FF-8B60-B65A88834562}">
  <ds:schemaRefs>
    <ds:schemaRef ds:uri="http://schemas.openxmlformats.org/officeDocument/2006/bibliography"/>
  </ds:schemaRefs>
</ds:datastoreItem>
</file>

<file path=customXml/itemProps2.xml><?xml version="1.0" encoding="utf-8"?>
<ds:datastoreItem xmlns:ds="http://schemas.openxmlformats.org/officeDocument/2006/customXml" ds:itemID="{A097479E-6574-4B87-B732-E4E95AC2F926}"/>
</file>

<file path=customXml/itemProps3.xml><?xml version="1.0" encoding="utf-8"?>
<ds:datastoreItem xmlns:ds="http://schemas.openxmlformats.org/officeDocument/2006/customXml" ds:itemID="{7E4BEF72-9250-4131-8DA8-19338F71D656}"/>
</file>

<file path=customXml/itemProps4.xml><?xml version="1.0" encoding="utf-8"?>
<ds:datastoreItem xmlns:ds="http://schemas.openxmlformats.org/officeDocument/2006/customXml" ds:itemID="{2C2A4AD0-A81F-4EDD-80EA-1AEE48DE63AE}"/>
</file>

<file path=customXml/itemProps5.xml><?xml version="1.0" encoding="utf-8"?>
<ds:datastoreItem xmlns:ds="http://schemas.openxmlformats.org/officeDocument/2006/customXml" ds:itemID="{B7322074-B781-4B89-B03D-D6194F1A1712}"/>
</file>

<file path=docProps/app.xml><?xml version="1.0" encoding="utf-8"?>
<Properties xmlns="http://schemas.openxmlformats.org/officeDocument/2006/extended-properties" xmlns:vt="http://schemas.openxmlformats.org/officeDocument/2006/docPropsVTypes">
  <Template>Normal</Template>
  <TotalTime>1255</TotalTime>
  <Pages>28</Pages>
  <Words>9732</Words>
  <Characters>53527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Ardila</dc:creator>
  <cp:lastModifiedBy>Angelica Maria Franco Cañas</cp:lastModifiedBy>
  <cp:revision>188</cp:revision>
  <dcterms:created xsi:type="dcterms:W3CDTF">2018-07-30T19:39:00Z</dcterms:created>
  <dcterms:modified xsi:type="dcterms:W3CDTF">2019-03-29T18:09:00Z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0x0101003F70A6A14EB2B6478ED391A32F5E62D7</vt:lpwstr>
  </property>
  <property fmtid="{D5CDD505-2E9C-101B-9397-08002B2CF9AE}" pid="3" name="_dlc_DocIdItemGuid">
    <vt:lpwstr>e2fc6918-3f4f-4236-bb15-ed2d7c4b3ef6</vt:lpwstr>
  </property>
</Properties>
</file>